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614FBB10" w:rsidR="00F92268" w:rsidRPr="00BD1CC1" w:rsidRDefault="00F92268" w:rsidP="00850792">
      <w:pPr>
        <w:pStyle w:val="BodyText"/>
        <w:rPr>
          <w:sz w:val="6"/>
          <w:szCs w:val="6"/>
        </w:rPr>
      </w:pPr>
      <w:r w:rsidRPr="00BD1CC1">
        <w:rPr>
          <w:noProof/>
        </w:rPr>
        <w:drawing>
          <wp:anchor distT="0" distB="0" distL="114300" distR="114300" simplePos="0" relativeHeight="251658240" behindDoc="0" locked="0" layoutInCell="1" allowOverlap="1" wp14:anchorId="0F8F2AD5" wp14:editId="73781878">
            <wp:simplePos x="461246" y="574535"/>
            <wp:positionH relativeFrom="column">
              <wp:align>left</wp:align>
            </wp:positionH>
            <wp:positionV relativeFrom="paragraph">
              <wp:align>top</wp:align>
            </wp:positionV>
            <wp:extent cx="1661840" cy="187991"/>
            <wp:effectExtent l="0" t="0" r="0" b="2540"/>
            <wp:wrapSquare wrapText="bothSides"/>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anchor>
        </w:drawing>
      </w:r>
      <w:r w:rsidR="00E9315C">
        <w:rPr>
          <w:sz w:val="6"/>
          <w:szCs w:val="6"/>
        </w:rPr>
        <w:br w:type="textWrapping" w:clear="all"/>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15E27" w:rsidRDefault="00F92268" w:rsidP="00A350C4">
            <w:pPr>
              <w:pStyle w:val="RefTableHeader"/>
            </w:pPr>
            <w:r w:rsidRPr="00615E27">
              <w:t>Reference number(s)</w:t>
            </w:r>
          </w:p>
        </w:tc>
      </w:tr>
      <w:tr w:rsidR="00F92268" w:rsidRPr="00BD1CC1"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0A11E3A" w:rsidR="00F92268" w:rsidRPr="00BD1CC1" w:rsidRDefault="007F049D" w:rsidP="00EC3BCC">
            <w:pPr>
              <w:pStyle w:val="RefTableData"/>
            </w:pPr>
            <w:r>
              <w:t>111-J</w:t>
            </w:r>
          </w:p>
        </w:tc>
      </w:tr>
    </w:tbl>
    <w:p w14:paraId="13AD34D2" w14:textId="77777777" w:rsidR="00FC60A1" w:rsidRPr="00FC60A1" w:rsidRDefault="00FC60A1" w:rsidP="00FC60A1">
      <w:pPr>
        <w:spacing w:after="120"/>
        <w:jc w:val="center"/>
        <w:outlineLvl w:val="0"/>
        <w:rPr>
          <w:b/>
          <w:bCs/>
          <w:sz w:val="56"/>
          <w:szCs w:val="40"/>
        </w:rPr>
        <w:sectPr w:rsidR="00FC60A1" w:rsidRPr="00FC60A1" w:rsidSect="00FC60A1">
          <w:headerReference w:type="default" r:id="rId12"/>
          <w:footerReference w:type="default" r:id="rId13"/>
          <w:footerReference w:type="first" r:id="rId14"/>
          <w:type w:val="continuous"/>
          <w:pgSz w:w="12240" w:h="15840" w:code="1"/>
          <w:pgMar w:top="900" w:right="720" w:bottom="990" w:left="720" w:header="720" w:footer="807" w:gutter="0"/>
          <w:paperSrc w:first="15" w:other="15"/>
          <w:cols w:space="720"/>
          <w:titlePg/>
          <w:docGrid w:linePitch="272"/>
        </w:sectPr>
      </w:pPr>
    </w:p>
    <w:p w14:paraId="5AA03A56" w14:textId="1CEA872A" w:rsidR="007F049D" w:rsidRPr="007F049D" w:rsidRDefault="007F049D" w:rsidP="00592D95">
      <w:pPr>
        <w:pStyle w:val="Heading1"/>
      </w:pPr>
      <w:r w:rsidRPr="007F049D">
        <w:t>Post Limit Prior Authorization</w:t>
      </w:r>
      <w:r w:rsidRPr="007F049D">
        <w:br/>
        <w:t>Influenza Treatment &amp; Prevention</w:t>
      </w:r>
    </w:p>
    <w:p w14:paraId="4FEACF61" w14:textId="63AD5B86" w:rsidR="007F049D" w:rsidRPr="007F049D" w:rsidRDefault="007F049D" w:rsidP="00592D95">
      <w:pPr>
        <w:pStyle w:val="Heading2"/>
      </w:pPr>
      <w:r w:rsidRPr="007F049D">
        <w:t>Products Referenced by this Document</w:t>
      </w:r>
    </w:p>
    <w:p w14:paraId="7E22A9C8" w14:textId="77777777" w:rsidR="007F049D" w:rsidRPr="007F049D" w:rsidRDefault="007F049D" w:rsidP="00592D95">
      <w:pPr>
        <w:pStyle w:val="BodyText"/>
      </w:pPr>
      <w:r w:rsidRPr="007F049D">
        <w:t>Drugs that are listed in the following table include both brand and generic and all dosage forms and strengths unless otherwise stated. Over-the-counter (OTC)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7F049D" w:rsidRPr="007F049D" w14:paraId="57FF0F30" w14:textId="77777777" w:rsidTr="00C13E2F">
        <w:trPr>
          <w:cantSplit/>
          <w:trHeight w:val="288"/>
          <w:tblHeader/>
        </w:trPr>
        <w:tc>
          <w:tcPr>
            <w:tcW w:w="5265" w:type="dxa"/>
            <w:vAlign w:val="center"/>
          </w:tcPr>
          <w:p w14:paraId="12D84CEE" w14:textId="77777777" w:rsidR="007F049D" w:rsidRPr="007F049D" w:rsidRDefault="007F049D" w:rsidP="007F049D">
            <w:pPr>
              <w:spacing w:after="60"/>
              <w:rPr>
                <w:rFonts w:cs="Arial"/>
                <w:b/>
                <w:bCs/>
                <w:szCs w:val="22"/>
              </w:rPr>
            </w:pPr>
            <w:r w:rsidRPr="007F049D">
              <w:rPr>
                <w:rFonts w:cs="Arial"/>
                <w:b/>
                <w:bCs/>
                <w:szCs w:val="22"/>
              </w:rPr>
              <w:t>Brand Name</w:t>
            </w:r>
          </w:p>
        </w:tc>
        <w:tc>
          <w:tcPr>
            <w:tcW w:w="5595" w:type="dxa"/>
            <w:vAlign w:val="center"/>
          </w:tcPr>
          <w:p w14:paraId="0F0BEFE6" w14:textId="77777777" w:rsidR="007F049D" w:rsidRPr="007F049D" w:rsidRDefault="007F049D" w:rsidP="007F049D">
            <w:pPr>
              <w:spacing w:after="60"/>
              <w:rPr>
                <w:rFonts w:cs="Arial"/>
                <w:b/>
                <w:bCs/>
                <w:szCs w:val="22"/>
              </w:rPr>
            </w:pPr>
            <w:r w:rsidRPr="007F049D">
              <w:rPr>
                <w:rFonts w:cs="Arial"/>
                <w:b/>
                <w:bCs/>
                <w:szCs w:val="22"/>
              </w:rPr>
              <w:t>Generic Name</w:t>
            </w:r>
          </w:p>
        </w:tc>
      </w:tr>
      <w:tr w:rsidR="007F049D" w:rsidRPr="007F049D" w14:paraId="787A3056" w14:textId="77777777" w:rsidTr="00C13E2F">
        <w:trPr>
          <w:cantSplit/>
        </w:trPr>
        <w:tc>
          <w:tcPr>
            <w:tcW w:w="5265" w:type="dxa"/>
          </w:tcPr>
          <w:p w14:paraId="6EF68CF6" w14:textId="77777777" w:rsidR="007F049D" w:rsidRPr="007F049D" w:rsidRDefault="007F049D" w:rsidP="007F049D">
            <w:pPr>
              <w:rPr>
                <w:rFonts w:eastAsia="Arial" w:cs="Arial"/>
                <w:szCs w:val="22"/>
              </w:rPr>
            </w:pPr>
            <w:r w:rsidRPr="007F049D">
              <w:rPr>
                <w:rFonts w:eastAsia="Arial" w:cs="Arial"/>
                <w:szCs w:val="22"/>
              </w:rPr>
              <w:t>Relenza</w:t>
            </w:r>
          </w:p>
        </w:tc>
        <w:tc>
          <w:tcPr>
            <w:tcW w:w="5595" w:type="dxa"/>
          </w:tcPr>
          <w:p w14:paraId="038AA21F" w14:textId="77777777" w:rsidR="007F049D" w:rsidRPr="007F049D" w:rsidRDefault="007F049D" w:rsidP="007F049D">
            <w:pPr>
              <w:rPr>
                <w:rFonts w:eastAsia="Arial" w:cs="Arial"/>
                <w:szCs w:val="22"/>
              </w:rPr>
            </w:pPr>
            <w:r w:rsidRPr="007F049D">
              <w:rPr>
                <w:rFonts w:eastAsia="Arial" w:cs="Arial"/>
                <w:szCs w:val="22"/>
              </w:rPr>
              <w:t>zanamivir</w:t>
            </w:r>
          </w:p>
        </w:tc>
      </w:tr>
      <w:tr w:rsidR="007F049D" w:rsidRPr="007F049D" w14:paraId="6C769A8B" w14:textId="77777777" w:rsidTr="00C13E2F">
        <w:trPr>
          <w:cantSplit/>
        </w:trPr>
        <w:tc>
          <w:tcPr>
            <w:tcW w:w="5265" w:type="dxa"/>
          </w:tcPr>
          <w:p w14:paraId="029D5279" w14:textId="77777777" w:rsidR="007F049D" w:rsidRPr="007F049D" w:rsidRDefault="007F049D" w:rsidP="007F049D">
            <w:pPr>
              <w:rPr>
                <w:rFonts w:eastAsia="Arial" w:cs="Arial"/>
                <w:szCs w:val="22"/>
              </w:rPr>
            </w:pPr>
            <w:r w:rsidRPr="007F049D">
              <w:rPr>
                <w:rFonts w:eastAsia="Arial" w:cs="Arial"/>
                <w:szCs w:val="22"/>
              </w:rPr>
              <w:t>Tamiflu</w:t>
            </w:r>
          </w:p>
        </w:tc>
        <w:tc>
          <w:tcPr>
            <w:tcW w:w="5595" w:type="dxa"/>
          </w:tcPr>
          <w:p w14:paraId="6871AFEA" w14:textId="77777777" w:rsidR="007F049D" w:rsidRPr="007F049D" w:rsidRDefault="007F049D" w:rsidP="007F049D">
            <w:pPr>
              <w:rPr>
                <w:rFonts w:eastAsia="Arial" w:cs="Arial"/>
                <w:szCs w:val="22"/>
              </w:rPr>
            </w:pPr>
            <w:r w:rsidRPr="007F049D">
              <w:rPr>
                <w:rFonts w:eastAsia="Arial" w:cs="Arial"/>
                <w:szCs w:val="22"/>
              </w:rPr>
              <w:t>oseltamivir</w:t>
            </w:r>
          </w:p>
        </w:tc>
      </w:tr>
      <w:tr w:rsidR="007F049D" w:rsidRPr="007F049D" w14:paraId="1A4732EF" w14:textId="77777777" w:rsidTr="00C13E2F">
        <w:trPr>
          <w:cantSplit/>
        </w:trPr>
        <w:tc>
          <w:tcPr>
            <w:tcW w:w="5265" w:type="dxa"/>
          </w:tcPr>
          <w:p w14:paraId="1D13C4FA" w14:textId="77777777" w:rsidR="007F049D" w:rsidRPr="007F049D" w:rsidRDefault="007F049D" w:rsidP="007F049D">
            <w:pPr>
              <w:rPr>
                <w:rFonts w:eastAsia="Arial" w:cs="Arial"/>
                <w:szCs w:val="22"/>
              </w:rPr>
            </w:pPr>
            <w:r w:rsidRPr="007F049D">
              <w:rPr>
                <w:rFonts w:eastAsia="Arial" w:cs="Arial"/>
                <w:szCs w:val="22"/>
              </w:rPr>
              <w:t>Xofluza</w:t>
            </w:r>
          </w:p>
        </w:tc>
        <w:tc>
          <w:tcPr>
            <w:tcW w:w="5595" w:type="dxa"/>
          </w:tcPr>
          <w:p w14:paraId="1A7875AD" w14:textId="77777777" w:rsidR="007F049D" w:rsidRPr="007F049D" w:rsidRDefault="007F049D" w:rsidP="007F049D">
            <w:pPr>
              <w:rPr>
                <w:rFonts w:eastAsia="Arial" w:cs="Arial"/>
                <w:szCs w:val="22"/>
              </w:rPr>
            </w:pPr>
            <w:r w:rsidRPr="007F049D">
              <w:rPr>
                <w:rFonts w:eastAsia="Arial" w:cs="Arial"/>
                <w:szCs w:val="22"/>
              </w:rPr>
              <w:t>baloxavir marboxil</w:t>
            </w:r>
          </w:p>
        </w:tc>
      </w:tr>
    </w:tbl>
    <w:p w14:paraId="3879C06F" w14:textId="77777777" w:rsidR="007F049D" w:rsidRPr="007F049D" w:rsidRDefault="007F049D" w:rsidP="00592D95">
      <w:pPr>
        <w:pStyle w:val="Heading2"/>
      </w:pPr>
      <w:r w:rsidRPr="007F049D">
        <w:t>Indications</w:t>
      </w:r>
    </w:p>
    <w:p w14:paraId="31D83259" w14:textId="77777777" w:rsidR="007F049D" w:rsidRPr="007F049D" w:rsidRDefault="007F049D" w:rsidP="00592D95">
      <w:pPr>
        <w:pStyle w:val="Heading3"/>
      </w:pPr>
      <w:r w:rsidRPr="007F049D">
        <w:t>FDA-approved Indications</w:t>
      </w:r>
    </w:p>
    <w:p w14:paraId="4E1059DF" w14:textId="77777777" w:rsidR="007F049D" w:rsidRPr="007F049D" w:rsidRDefault="007F049D" w:rsidP="00592D95">
      <w:pPr>
        <w:pStyle w:val="Heading4"/>
      </w:pPr>
      <w:r w:rsidRPr="007F049D">
        <w:t>Relenza</w:t>
      </w:r>
    </w:p>
    <w:p w14:paraId="64549C2C" w14:textId="77777777" w:rsidR="007F049D" w:rsidRPr="007F049D" w:rsidRDefault="007F049D" w:rsidP="00592D95">
      <w:pPr>
        <w:pStyle w:val="Heading5"/>
      </w:pPr>
      <w:r w:rsidRPr="007F049D">
        <w:t>Treatment of Influenza</w:t>
      </w:r>
    </w:p>
    <w:p w14:paraId="1CF82DDC" w14:textId="77777777" w:rsidR="007F049D" w:rsidRPr="007F049D" w:rsidRDefault="007F049D" w:rsidP="00592D95">
      <w:pPr>
        <w:pStyle w:val="BodyText"/>
      </w:pPr>
      <w:r w:rsidRPr="007F049D">
        <w:t>Relenza (zanamivir) inhalation powder is indicated for treatment of uncomplicated acute illness due to influenza A and B virus in adults and pediatric patients aged 7 years and older who have been symptomatic for no more than 2 days.</w:t>
      </w:r>
    </w:p>
    <w:p w14:paraId="78041DA5" w14:textId="77777777" w:rsidR="007F049D" w:rsidRPr="007F049D" w:rsidRDefault="007F049D" w:rsidP="00592D95">
      <w:pPr>
        <w:pStyle w:val="Heading5"/>
      </w:pPr>
      <w:r w:rsidRPr="007F049D">
        <w:t>Prophylaxis of Influenza</w:t>
      </w:r>
    </w:p>
    <w:p w14:paraId="50F24325" w14:textId="77777777" w:rsidR="007F049D" w:rsidRPr="007F049D" w:rsidRDefault="007F049D" w:rsidP="00592D95">
      <w:pPr>
        <w:pStyle w:val="BodyText"/>
      </w:pPr>
      <w:r w:rsidRPr="007F049D">
        <w:t>Relenza is indicated for prophylaxis of influenza in adults and pediatric patients aged 5 years and older.</w:t>
      </w:r>
    </w:p>
    <w:p w14:paraId="7906B42F" w14:textId="77777777" w:rsidR="007F049D" w:rsidRPr="007F049D" w:rsidRDefault="007F049D" w:rsidP="00592D95">
      <w:pPr>
        <w:pStyle w:val="Heading5"/>
      </w:pPr>
      <w:r w:rsidRPr="007F049D">
        <w:lastRenderedPageBreak/>
        <w:t>Important Limitations of Use</w:t>
      </w:r>
    </w:p>
    <w:p w14:paraId="113B75CC" w14:textId="77777777" w:rsidR="007F049D" w:rsidRPr="007F049D" w:rsidRDefault="007F049D" w:rsidP="007F049D">
      <w:pPr>
        <w:numPr>
          <w:ilvl w:val="0"/>
          <w:numId w:val="21"/>
        </w:numPr>
        <w:spacing w:after="60"/>
        <w:ind w:right="374"/>
        <w:contextualSpacing/>
        <w:textAlignment w:val="baseline"/>
        <w:rPr>
          <w:rFonts w:cs="Arial"/>
          <w:color w:val="222222"/>
          <w:szCs w:val="22"/>
        </w:rPr>
      </w:pPr>
      <w:r w:rsidRPr="007F049D">
        <w:rPr>
          <w:rFonts w:cs="Arial"/>
          <w:color w:val="222222"/>
          <w:szCs w:val="22"/>
        </w:rPr>
        <w:t>Relenza is not recommended for treatment or prophylaxis of influenza in individuals with underlying airways disease (such as asthma or chronic obstructive pulmonary disease) due to risk of serious bronchospasm.</w:t>
      </w:r>
    </w:p>
    <w:p w14:paraId="3122DD5D" w14:textId="77777777" w:rsidR="007F049D" w:rsidRPr="007F049D" w:rsidRDefault="007F049D" w:rsidP="007F049D">
      <w:pPr>
        <w:numPr>
          <w:ilvl w:val="0"/>
          <w:numId w:val="21"/>
        </w:numPr>
        <w:spacing w:after="60"/>
        <w:ind w:right="374"/>
        <w:contextualSpacing/>
        <w:textAlignment w:val="baseline"/>
        <w:rPr>
          <w:rFonts w:cs="Arial"/>
          <w:color w:val="222222"/>
          <w:szCs w:val="22"/>
        </w:rPr>
      </w:pPr>
      <w:r w:rsidRPr="007F049D">
        <w:rPr>
          <w:rFonts w:cs="Arial"/>
          <w:color w:val="222222"/>
          <w:szCs w:val="22"/>
        </w:rPr>
        <w:t>Relenza has not been proven effective for treatment of influenza in individuals with underlying airways disease.</w:t>
      </w:r>
    </w:p>
    <w:p w14:paraId="219312DA" w14:textId="77777777" w:rsidR="007F049D" w:rsidRPr="007F049D" w:rsidRDefault="007F049D" w:rsidP="007F049D">
      <w:pPr>
        <w:numPr>
          <w:ilvl w:val="0"/>
          <w:numId w:val="21"/>
        </w:numPr>
        <w:spacing w:after="60"/>
        <w:ind w:right="374"/>
        <w:contextualSpacing/>
        <w:textAlignment w:val="baseline"/>
        <w:rPr>
          <w:rFonts w:cs="Arial"/>
          <w:color w:val="222222"/>
          <w:szCs w:val="22"/>
        </w:rPr>
      </w:pPr>
      <w:r w:rsidRPr="007F049D">
        <w:rPr>
          <w:rFonts w:cs="Arial"/>
          <w:color w:val="222222"/>
          <w:szCs w:val="22"/>
        </w:rPr>
        <w:t>Relenza has not been proven effective for prophylaxis of influenza in the nursing home setting.</w:t>
      </w:r>
    </w:p>
    <w:p w14:paraId="2246F569" w14:textId="77777777" w:rsidR="007F049D" w:rsidRPr="007F049D" w:rsidRDefault="007F049D" w:rsidP="007F049D">
      <w:pPr>
        <w:numPr>
          <w:ilvl w:val="0"/>
          <w:numId w:val="21"/>
        </w:numPr>
        <w:spacing w:after="60"/>
        <w:ind w:right="374"/>
        <w:contextualSpacing/>
        <w:textAlignment w:val="baseline"/>
        <w:rPr>
          <w:rFonts w:cs="Arial"/>
          <w:color w:val="222222"/>
          <w:szCs w:val="22"/>
        </w:rPr>
      </w:pPr>
      <w:r w:rsidRPr="007F049D">
        <w:rPr>
          <w:rFonts w:cs="Arial"/>
          <w:color w:val="222222"/>
          <w:szCs w:val="22"/>
        </w:rPr>
        <w:t>Relenza is not a substitute for early influenza vaccination on an annual basis as recommended by the Centers for Disease Control's Immunization Practices Advisory Committee.</w:t>
      </w:r>
    </w:p>
    <w:p w14:paraId="17418A2C" w14:textId="77777777" w:rsidR="007F049D" w:rsidRPr="007F049D" w:rsidRDefault="007F049D" w:rsidP="007F049D">
      <w:pPr>
        <w:numPr>
          <w:ilvl w:val="0"/>
          <w:numId w:val="21"/>
        </w:numPr>
        <w:spacing w:after="60"/>
        <w:ind w:right="374"/>
        <w:contextualSpacing/>
        <w:textAlignment w:val="baseline"/>
        <w:rPr>
          <w:rFonts w:cs="Arial"/>
          <w:color w:val="222222"/>
          <w:szCs w:val="22"/>
        </w:rPr>
      </w:pPr>
      <w:r w:rsidRPr="007F049D">
        <w:rPr>
          <w:rFonts w:cs="Arial"/>
          <w:color w:val="222222"/>
          <w:szCs w:val="22"/>
        </w:rPr>
        <w:t>Influenza viruses change over time. Emergence of resistance mutations could decrease drug effectiveness. Other factors (for example, changes in viral virulence) might also diminish clinical benefit of antiviral drugs. Prescribers should consider available information on influenza drug susceptibility patterns and treatment effects when deciding whether to use Relenza.</w:t>
      </w:r>
    </w:p>
    <w:p w14:paraId="485E8955" w14:textId="77777777" w:rsidR="007F049D" w:rsidRPr="007F049D" w:rsidRDefault="007F049D" w:rsidP="007F049D">
      <w:pPr>
        <w:numPr>
          <w:ilvl w:val="0"/>
          <w:numId w:val="21"/>
        </w:numPr>
        <w:spacing w:after="60"/>
        <w:ind w:right="374"/>
        <w:contextualSpacing/>
        <w:textAlignment w:val="baseline"/>
        <w:rPr>
          <w:rFonts w:cs="Arial"/>
          <w:color w:val="222222"/>
          <w:szCs w:val="22"/>
        </w:rPr>
      </w:pPr>
      <w:r w:rsidRPr="007F049D">
        <w:rPr>
          <w:rFonts w:cs="Arial"/>
          <w:color w:val="222222"/>
          <w:szCs w:val="22"/>
        </w:rPr>
        <w:t>There is no evidence for efficacy of zanamivir in any illness caused by agents other than influenza virus A and B.</w:t>
      </w:r>
    </w:p>
    <w:p w14:paraId="6DC7696D" w14:textId="77777777" w:rsidR="007F049D" w:rsidRPr="007F049D" w:rsidRDefault="007F049D" w:rsidP="007F049D">
      <w:pPr>
        <w:numPr>
          <w:ilvl w:val="0"/>
          <w:numId w:val="21"/>
        </w:numPr>
        <w:spacing w:after="60"/>
        <w:ind w:right="374"/>
        <w:contextualSpacing/>
        <w:textAlignment w:val="baseline"/>
        <w:rPr>
          <w:rFonts w:cs="Arial"/>
          <w:color w:val="222222"/>
          <w:szCs w:val="22"/>
        </w:rPr>
      </w:pPr>
      <w:r w:rsidRPr="007F049D">
        <w:rPr>
          <w:rFonts w:cs="Arial"/>
          <w:color w:val="222222"/>
          <w:szCs w:val="22"/>
        </w:rPr>
        <w:t>Patients should be advised that the use of Relenza for treatment of influenza has not been shown to reduce the risk of transmission of influenza to others.</w:t>
      </w:r>
    </w:p>
    <w:p w14:paraId="16247BDA" w14:textId="77777777" w:rsidR="007F049D" w:rsidRPr="007F049D" w:rsidRDefault="007F049D" w:rsidP="00592D95">
      <w:pPr>
        <w:pStyle w:val="Heading5"/>
      </w:pPr>
      <w:r w:rsidRPr="007F049D">
        <w:t>Compendial Uses</w:t>
      </w:r>
    </w:p>
    <w:p w14:paraId="10B01A69" w14:textId="42B72073" w:rsidR="007F049D" w:rsidRPr="007F049D" w:rsidRDefault="007F049D" w:rsidP="00592D95">
      <w:pPr>
        <w:pStyle w:val="BodyText"/>
      </w:pPr>
      <w:r w:rsidRPr="007F049D">
        <w:t>Treatment of influenza A or B viral infection when administered after 48 hours in patients aged 7 years and older who are at higher risk for influenza complications or in patients aged 7 years and older with severe, complicated, or progressive illness</w:t>
      </w:r>
      <w:r w:rsidR="002413DD">
        <w:t>.</w:t>
      </w:r>
      <w:r w:rsidRPr="007F049D">
        <w:rPr>
          <w:vertAlign w:val="superscript"/>
        </w:rPr>
        <w:t>6,7</w:t>
      </w:r>
    </w:p>
    <w:p w14:paraId="4EF1FB2C" w14:textId="77777777" w:rsidR="007F049D" w:rsidRPr="007F049D" w:rsidRDefault="007F049D" w:rsidP="00592D95">
      <w:pPr>
        <w:pStyle w:val="Heading4"/>
      </w:pPr>
      <w:r w:rsidRPr="007F049D">
        <w:t>Tamiflu</w:t>
      </w:r>
    </w:p>
    <w:p w14:paraId="343D9656" w14:textId="77777777" w:rsidR="007F049D" w:rsidRPr="007F049D" w:rsidRDefault="007F049D" w:rsidP="00592D95">
      <w:pPr>
        <w:pStyle w:val="Heading5"/>
      </w:pPr>
      <w:r w:rsidRPr="007F049D">
        <w:t>Treatment of Influenza</w:t>
      </w:r>
    </w:p>
    <w:p w14:paraId="39BD226E" w14:textId="77777777" w:rsidR="007F049D" w:rsidRPr="007F049D" w:rsidRDefault="007F049D" w:rsidP="00592D95">
      <w:pPr>
        <w:pStyle w:val="BodyText"/>
      </w:pPr>
      <w:r w:rsidRPr="007F049D">
        <w:t>Tamiflu is indicated for the treatment of acute, uncomplicated illness due to influenza A and B infection in patients 2 weeks of age and older who have been symptomatic for no more than 48 hours.</w:t>
      </w:r>
    </w:p>
    <w:p w14:paraId="27DEB0DA" w14:textId="77777777" w:rsidR="007F049D" w:rsidRPr="007F049D" w:rsidRDefault="007F049D" w:rsidP="00592D95">
      <w:pPr>
        <w:pStyle w:val="Heading5"/>
      </w:pPr>
      <w:r w:rsidRPr="007F049D">
        <w:t>Prophylaxis of Influenza</w:t>
      </w:r>
    </w:p>
    <w:p w14:paraId="25335B56" w14:textId="77777777" w:rsidR="007F049D" w:rsidRPr="007F049D" w:rsidRDefault="007F049D" w:rsidP="00592D95">
      <w:pPr>
        <w:pStyle w:val="BodyText"/>
      </w:pPr>
      <w:r w:rsidRPr="007F049D">
        <w:t>Tamiflu is indicated for the prophylaxis of influenza A and B in patients 1 year and older.</w:t>
      </w:r>
    </w:p>
    <w:p w14:paraId="3E43B84D" w14:textId="77777777" w:rsidR="007F049D" w:rsidRPr="007F049D" w:rsidRDefault="007F049D" w:rsidP="00592D95">
      <w:pPr>
        <w:pStyle w:val="Heading5"/>
      </w:pPr>
      <w:r w:rsidRPr="007F049D">
        <w:t>Limitations of Use</w:t>
      </w:r>
    </w:p>
    <w:p w14:paraId="47023571" w14:textId="77777777" w:rsidR="007F049D" w:rsidRPr="007F049D" w:rsidRDefault="007F049D" w:rsidP="007F049D">
      <w:pPr>
        <w:numPr>
          <w:ilvl w:val="0"/>
          <w:numId w:val="33"/>
        </w:numPr>
        <w:spacing w:after="60"/>
        <w:ind w:right="374"/>
        <w:contextualSpacing/>
        <w:textAlignment w:val="baseline"/>
        <w:rPr>
          <w:rFonts w:cs="Arial"/>
          <w:color w:val="222222"/>
          <w:szCs w:val="22"/>
        </w:rPr>
      </w:pPr>
      <w:r w:rsidRPr="007F049D">
        <w:rPr>
          <w:rFonts w:cs="Arial"/>
          <w:color w:val="222222"/>
          <w:szCs w:val="22"/>
        </w:rPr>
        <w:t>Tamiflu is not a substitute for early influenza vaccination on an annual basis as recommended by the Centers for Disease Control and Prevention Advisory Committee on Immunization Practices.</w:t>
      </w:r>
    </w:p>
    <w:p w14:paraId="3AC9173A" w14:textId="77777777" w:rsidR="007F049D" w:rsidRPr="007F049D" w:rsidRDefault="007F049D" w:rsidP="007F049D">
      <w:pPr>
        <w:numPr>
          <w:ilvl w:val="0"/>
          <w:numId w:val="33"/>
        </w:numPr>
        <w:spacing w:after="60"/>
        <w:ind w:right="374"/>
        <w:contextualSpacing/>
        <w:textAlignment w:val="baseline"/>
        <w:rPr>
          <w:rFonts w:cs="Arial"/>
          <w:color w:val="222222"/>
          <w:szCs w:val="22"/>
        </w:rPr>
      </w:pPr>
      <w:r w:rsidRPr="007F049D">
        <w:rPr>
          <w:rFonts w:cs="Arial"/>
          <w:color w:val="222222"/>
          <w:szCs w:val="22"/>
        </w:rPr>
        <w:t>Influenza viruses change over time. Emergence of resistance substitutions could decrease drug effectiveness. Other factors (for example, changes in viral virulence) might also diminish clinical benefit of antiviral drugs. Prescribers should consider available information on influenza drug susceptibility patterns and treatment effects when deciding whether to use Tamiflu.</w:t>
      </w:r>
    </w:p>
    <w:p w14:paraId="4F8CEA7B" w14:textId="77777777" w:rsidR="007F049D" w:rsidRPr="007F049D" w:rsidRDefault="007F049D" w:rsidP="007F049D">
      <w:pPr>
        <w:numPr>
          <w:ilvl w:val="0"/>
          <w:numId w:val="33"/>
        </w:numPr>
        <w:spacing w:after="60"/>
        <w:ind w:right="374"/>
        <w:contextualSpacing/>
        <w:textAlignment w:val="baseline"/>
        <w:rPr>
          <w:rFonts w:cs="Arial"/>
          <w:color w:val="222222"/>
          <w:szCs w:val="22"/>
        </w:rPr>
      </w:pPr>
      <w:r w:rsidRPr="007F049D">
        <w:rPr>
          <w:rFonts w:cs="Arial"/>
          <w:color w:val="222222"/>
          <w:szCs w:val="22"/>
        </w:rPr>
        <w:t>Tamiflu is not recommended for patients with end-stage renal disease not undergoing dialysis.</w:t>
      </w:r>
    </w:p>
    <w:p w14:paraId="6C0C456D" w14:textId="77777777" w:rsidR="007F049D" w:rsidRPr="007F049D" w:rsidRDefault="007F049D" w:rsidP="00592D95">
      <w:pPr>
        <w:pStyle w:val="Heading5"/>
      </w:pPr>
      <w:r w:rsidRPr="007F049D">
        <w:t>Compendial Uses</w:t>
      </w:r>
    </w:p>
    <w:p w14:paraId="2DD05126" w14:textId="77777777" w:rsidR="007F049D" w:rsidRPr="007F049D" w:rsidRDefault="007F049D" w:rsidP="00592D95">
      <w:pPr>
        <w:pStyle w:val="BodyText"/>
      </w:pPr>
      <w:r w:rsidRPr="007F049D">
        <w:t>Treatment of influenza A or B viral infection when administered after 48 hours in patients who are at higher risk for influenza complications or in patients with severe, complicated, or progressive illness</w:t>
      </w:r>
      <w:r w:rsidRPr="007F049D">
        <w:rPr>
          <w:vertAlign w:val="superscript"/>
        </w:rPr>
        <w:t>6,7</w:t>
      </w:r>
    </w:p>
    <w:p w14:paraId="2BC5DDAC" w14:textId="3CD1FB5A" w:rsidR="007F049D" w:rsidRPr="007F049D" w:rsidRDefault="007F049D" w:rsidP="00592D95">
      <w:pPr>
        <w:pStyle w:val="BodyText"/>
      </w:pPr>
      <w:r w:rsidRPr="007F049D">
        <w:lastRenderedPageBreak/>
        <w:t>Prophylaxis of influenza A or B viral infection in patients 3 months to 1 year of age, if necessary, after exposure to another person with influenza</w:t>
      </w:r>
      <w:r w:rsidR="002413DD">
        <w:t>.</w:t>
      </w:r>
      <w:r w:rsidRPr="007F049D">
        <w:rPr>
          <w:vertAlign w:val="superscript"/>
        </w:rPr>
        <w:t>4,6</w:t>
      </w:r>
    </w:p>
    <w:p w14:paraId="60D5D22B" w14:textId="77777777" w:rsidR="007F049D" w:rsidRPr="007F049D" w:rsidRDefault="007F049D" w:rsidP="00592D95">
      <w:pPr>
        <w:pStyle w:val="Heading4"/>
      </w:pPr>
      <w:r w:rsidRPr="007F049D">
        <w:t>Xofluza</w:t>
      </w:r>
    </w:p>
    <w:p w14:paraId="05ECAECA" w14:textId="77777777" w:rsidR="007F049D" w:rsidRPr="007F049D" w:rsidRDefault="007F049D" w:rsidP="00592D95">
      <w:pPr>
        <w:pStyle w:val="Heading5"/>
      </w:pPr>
      <w:r w:rsidRPr="007F049D">
        <w:t>Treatment of Influenza</w:t>
      </w:r>
    </w:p>
    <w:p w14:paraId="63FA35D3" w14:textId="77777777" w:rsidR="007F049D" w:rsidRPr="007F049D" w:rsidRDefault="007F049D" w:rsidP="00592D95">
      <w:pPr>
        <w:pStyle w:val="BodyText"/>
      </w:pPr>
      <w:r w:rsidRPr="007F049D">
        <w:t>Xofluza is indicated for treatment of acute uncomplicated influenza in patients 5 years of age and older who have been symptomatic for no more than 48 hours and who are otherwise healthy or at high risk of developing influenza-related complications.</w:t>
      </w:r>
    </w:p>
    <w:p w14:paraId="10EFD392" w14:textId="77777777" w:rsidR="007F049D" w:rsidRPr="007F049D" w:rsidRDefault="007F049D" w:rsidP="00592D95">
      <w:pPr>
        <w:pStyle w:val="Heading5"/>
      </w:pPr>
      <w:r w:rsidRPr="007F049D">
        <w:t>Post-Exposure Prophylaxis of Influenza</w:t>
      </w:r>
    </w:p>
    <w:p w14:paraId="5B943B70" w14:textId="77777777" w:rsidR="007F049D" w:rsidRPr="007F049D" w:rsidRDefault="007F049D" w:rsidP="00592D95">
      <w:pPr>
        <w:pStyle w:val="BodyText"/>
      </w:pPr>
      <w:r w:rsidRPr="007F049D">
        <w:t>Xofluza is indicated for post-exposure prophylaxis of influenza in persons 5 years of age and older following contact with an individual who has influenza.</w:t>
      </w:r>
    </w:p>
    <w:p w14:paraId="60B928C1" w14:textId="77777777" w:rsidR="007F049D" w:rsidRPr="007F049D" w:rsidRDefault="007F049D" w:rsidP="00592D95">
      <w:pPr>
        <w:pStyle w:val="Heading5"/>
      </w:pPr>
      <w:r w:rsidRPr="007F049D">
        <w:t>Limitations of Use</w:t>
      </w:r>
    </w:p>
    <w:p w14:paraId="3A5D51A0" w14:textId="77777777" w:rsidR="007F049D" w:rsidRPr="007F049D" w:rsidRDefault="007F049D" w:rsidP="00592D95">
      <w:pPr>
        <w:pStyle w:val="BodyText"/>
      </w:pPr>
      <w:r w:rsidRPr="007F049D">
        <w:t>Influenza viruses change over time, and factors such as the virus type or subtype, emergence of resistance, or changes in viral virulence could diminish the clinical benefit of antiviral drugs. Consider available information on drug susceptibility patterns for circulating influenza virus strains when deciding whether to use Xofluza.</w:t>
      </w:r>
    </w:p>
    <w:p w14:paraId="291134FA" w14:textId="77777777" w:rsidR="007F049D" w:rsidRPr="007F049D" w:rsidRDefault="007F049D" w:rsidP="00592D95">
      <w:pPr>
        <w:pStyle w:val="Heading2"/>
      </w:pPr>
      <w:r w:rsidRPr="007F049D">
        <w:t>Coverage Criteria</w:t>
      </w:r>
    </w:p>
    <w:p w14:paraId="142A2A19" w14:textId="77777777" w:rsidR="007F049D" w:rsidRPr="007F049D" w:rsidRDefault="007F049D" w:rsidP="00592D95">
      <w:pPr>
        <w:pStyle w:val="Heading3"/>
      </w:pPr>
      <w:r w:rsidRPr="007F049D">
        <w:t>Influenza</w:t>
      </w:r>
    </w:p>
    <w:p w14:paraId="309DBB4D" w14:textId="77777777" w:rsidR="007F049D" w:rsidRPr="007F049D" w:rsidRDefault="007F049D" w:rsidP="00592D95">
      <w:pPr>
        <w:pStyle w:val="BodyText"/>
      </w:pPr>
      <w:r w:rsidRPr="007F049D">
        <w:t>Authorization may be granted for the requested drug when ONE of the following criteria are met:</w:t>
      </w:r>
    </w:p>
    <w:p w14:paraId="2E2757FC" w14:textId="77777777" w:rsidR="007F049D" w:rsidRPr="007F049D" w:rsidRDefault="007F049D" w:rsidP="00592D95">
      <w:pPr>
        <w:pStyle w:val="ListParagraph"/>
      </w:pPr>
      <w:r w:rsidRPr="007F049D">
        <w:t>The requested drug is being prescribed for ANY of the following: treatment of acute uncomplicated influenza in a patient 5 years of age or older who is otherwise healthy or at high risk of developing influenza-related complications, post-exposure prophylaxis of influenza in a patient 5 years of age or older and the following criteria is met:</w:t>
      </w:r>
    </w:p>
    <w:p w14:paraId="36671E50" w14:textId="685D5F30" w:rsidR="007F049D" w:rsidRPr="007F049D" w:rsidRDefault="007F049D" w:rsidP="00592D95">
      <w:pPr>
        <w:pStyle w:val="ListParagraph"/>
        <w:numPr>
          <w:ilvl w:val="1"/>
          <w:numId w:val="21"/>
        </w:numPr>
      </w:pPr>
      <w:r w:rsidRPr="007F049D">
        <w:t>The request is for Xofluza (baloxavir marboxil)</w:t>
      </w:r>
      <w:r w:rsidR="001B674E">
        <w:t>.</w:t>
      </w:r>
    </w:p>
    <w:p w14:paraId="2D02ACA5" w14:textId="77777777" w:rsidR="007F049D" w:rsidRPr="007F049D" w:rsidRDefault="007F049D" w:rsidP="00592D95">
      <w:pPr>
        <w:pStyle w:val="ListParagraph"/>
      </w:pPr>
      <w:r w:rsidRPr="007F049D">
        <w:t>The requested drug is being prescribed for the prophylaxis of influenza A or B viral infection in a patient 3 months of age or older during a community outbreak and the following criteria is met:</w:t>
      </w:r>
    </w:p>
    <w:p w14:paraId="5AA5F7A7" w14:textId="4578AB6D" w:rsidR="007F049D" w:rsidRPr="007F049D" w:rsidRDefault="007F049D" w:rsidP="00592D95">
      <w:pPr>
        <w:pStyle w:val="ListParagraph"/>
        <w:numPr>
          <w:ilvl w:val="1"/>
          <w:numId w:val="21"/>
        </w:numPr>
      </w:pPr>
      <w:r w:rsidRPr="007F049D">
        <w:t>The request is for Tamiflu (oseltamivir)</w:t>
      </w:r>
      <w:r w:rsidR="001B674E">
        <w:t>.</w:t>
      </w:r>
    </w:p>
    <w:p w14:paraId="2C1AA6F9" w14:textId="77777777" w:rsidR="007F049D" w:rsidRPr="007F049D" w:rsidRDefault="007F049D" w:rsidP="00592D95">
      <w:pPr>
        <w:pStyle w:val="ListParagraph"/>
      </w:pPr>
      <w:r w:rsidRPr="007F049D">
        <w:t>The requested drug is being prescribed for the prophylaxis of influenza A or B viral infection in a patient 5 years of age or older during a community outbreak and the following criteria is met:</w:t>
      </w:r>
    </w:p>
    <w:p w14:paraId="1584681D" w14:textId="49FDC6AB" w:rsidR="007F049D" w:rsidRPr="007F049D" w:rsidRDefault="007F049D" w:rsidP="00592D95">
      <w:pPr>
        <w:pStyle w:val="ListParagraph"/>
        <w:numPr>
          <w:ilvl w:val="1"/>
          <w:numId w:val="21"/>
        </w:numPr>
      </w:pPr>
      <w:r w:rsidRPr="007F049D">
        <w:t>The request is for Relenza (zanamivir)</w:t>
      </w:r>
      <w:r w:rsidR="001B674E">
        <w:t>.</w:t>
      </w:r>
    </w:p>
    <w:p w14:paraId="139AE938" w14:textId="0EEE2791" w:rsidR="007F049D" w:rsidRPr="007F049D" w:rsidRDefault="007F049D" w:rsidP="00592D95">
      <w:pPr>
        <w:pStyle w:val="ListParagraph"/>
      </w:pPr>
      <w:r w:rsidRPr="007F049D">
        <w:t>The requested drug, (i.e., Tamiflu or Relenza), is being prescribed for the prophylaxis (prevention) OR the treatment of influenza A or B viral infection</w:t>
      </w:r>
      <w:r w:rsidR="001B674E">
        <w:t>.</w:t>
      </w:r>
    </w:p>
    <w:p w14:paraId="38F1C42A" w14:textId="086F485A" w:rsidR="007F049D" w:rsidRPr="007F049D" w:rsidRDefault="007F049D" w:rsidP="00592D95">
      <w:pPr>
        <w:pStyle w:val="Heading2"/>
      </w:pPr>
      <w:r w:rsidRPr="007F049D">
        <w:t>Quantity Limits Apply</w:t>
      </w:r>
    </w:p>
    <w:p w14:paraId="2DFF494A" w14:textId="77777777" w:rsidR="007F049D" w:rsidRPr="007F049D" w:rsidRDefault="007F049D" w:rsidP="00592D95">
      <w:pPr>
        <w:pStyle w:val="BodyText"/>
      </w:pPr>
      <w:r w:rsidRPr="007F049D">
        <w:t>The post limit below approves for additional quantities above the initial quantity limit.</w:t>
      </w:r>
    </w:p>
    <w:p w14:paraId="35AB610B" w14:textId="77777777" w:rsidR="007F049D" w:rsidRPr="007F049D" w:rsidRDefault="007F049D" w:rsidP="007F049D">
      <w:pPr>
        <w:keepNext/>
        <w:keepLines/>
        <w:spacing w:before="200" w:after="120"/>
        <w:outlineLvl w:val="2"/>
        <w:rPr>
          <w:rFonts w:cs="Arial"/>
          <w:bCs/>
          <w:sz w:val="32"/>
          <w:szCs w:val="32"/>
        </w:rPr>
      </w:pPr>
      <w:r w:rsidRPr="007F049D">
        <w:rPr>
          <w:rFonts w:cs="Arial"/>
          <w:bCs/>
          <w:sz w:val="32"/>
          <w:szCs w:val="32"/>
        </w:rPr>
        <w:lastRenderedPageBreak/>
        <w:t>Post Limit Quantity</w:t>
      </w:r>
    </w:p>
    <w:tbl>
      <w:tblPr>
        <w:tblpPr w:leftFromText="180" w:rightFromText="180" w:vertAnchor="text" w:horzAnchor="margin" w:tblpY="68"/>
        <w:tblW w:w="10823"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620" w:firstRow="1" w:lastRow="0" w:firstColumn="0" w:lastColumn="0" w:noHBand="1" w:noVBand="1"/>
      </w:tblPr>
      <w:tblGrid>
        <w:gridCol w:w="2705"/>
        <w:gridCol w:w="2706"/>
        <w:gridCol w:w="2706"/>
        <w:gridCol w:w="2706"/>
      </w:tblGrid>
      <w:tr w:rsidR="007F049D" w:rsidRPr="007F049D" w14:paraId="6609AB2B" w14:textId="77777777" w:rsidTr="00C13E2F">
        <w:trPr>
          <w:cantSplit/>
          <w:trHeight w:val="340"/>
          <w:tblHeader/>
        </w:trPr>
        <w:tc>
          <w:tcPr>
            <w:tcW w:w="2705" w:type="dxa"/>
            <w:vAlign w:val="center"/>
          </w:tcPr>
          <w:p w14:paraId="0AB6AF94" w14:textId="77777777" w:rsidR="007F049D" w:rsidRPr="007F049D" w:rsidRDefault="007F049D" w:rsidP="007F049D">
            <w:pPr>
              <w:rPr>
                <w:rFonts w:cs="Arial"/>
                <w:b/>
                <w:bCs/>
                <w:szCs w:val="22"/>
              </w:rPr>
            </w:pPr>
            <w:r w:rsidRPr="007F049D">
              <w:rPr>
                <w:rFonts w:cs="Arial"/>
                <w:b/>
                <w:bCs/>
                <w:szCs w:val="22"/>
              </w:rPr>
              <w:t>Medication</w:t>
            </w:r>
          </w:p>
        </w:tc>
        <w:tc>
          <w:tcPr>
            <w:tcW w:w="2706" w:type="dxa"/>
            <w:vAlign w:val="center"/>
          </w:tcPr>
          <w:p w14:paraId="1D7A664F" w14:textId="77777777" w:rsidR="007F049D" w:rsidRPr="007F049D" w:rsidRDefault="007F049D" w:rsidP="007F049D">
            <w:pPr>
              <w:rPr>
                <w:rFonts w:cs="Arial"/>
                <w:b/>
                <w:bCs/>
                <w:szCs w:val="22"/>
              </w:rPr>
            </w:pPr>
            <w:r w:rsidRPr="007F049D">
              <w:rPr>
                <w:rFonts w:cs="Arial"/>
                <w:b/>
                <w:bCs/>
                <w:szCs w:val="22"/>
              </w:rPr>
              <w:t>Indication</w:t>
            </w:r>
          </w:p>
        </w:tc>
        <w:tc>
          <w:tcPr>
            <w:tcW w:w="2706" w:type="dxa"/>
            <w:vAlign w:val="center"/>
          </w:tcPr>
          <w:p w14:paraId="7BB3983F" w14:textId="77777777" w:rsidR="007F049D" w:rsidRPr="007F049D" w:rsidRDefault="007F049D" w:rsidP="007F049D">
            <w:pPr>
              <w:rPr>
                <w:rFonts w:cs="Arial"/>
                <w:b/>
                <w:bCs/>
                <w:szCs w:val="22"/>
              </w:rPr>
            </w:pPr>
            <w:r w:rsidRPr="007F049D">
              <w:rPr>
                <w:rFonts w:cs="Arial"/>
                <w:b/>
                <w:bCs/>
                <w:szCs w:val="22"/>
              </w:rPr>
              <w:t>Strength</w:t>
            </w:r>
          </w:p>
        </w:tc>
        <w:tc>
          <w:tcPr>
            <w:tcW w:w="2706" w:type="dxa"/>
            <w:vAlign w:val="center"/>
          </w:tcPr>
          <w:p w14:paraId="33E4A7E4" w14:textId="77777777" w:rsidR="007F049D" w:rsidRPr="007F049D" w:rsidRDefault="007F049D" w:rsidP="007F049D">
            <w:pPr>
              <w:rPr>
                <w:rFonts w:cs="Arial"/>
                <w:b/>
                <w:bCs/>
                <w:szCs w:val="22"/>
              </w:rPr>
            </w:pPr>
            <w:r w:rsidRPr="007F049D">
              <w:rPr>
                <w:rFonts w:cs="Arial"/>
                <w:b/>
                <w:bCs/>
                <w:szCs w:val="22"/>
              </w:rPr>
              <w:t xml:space="preserve">Limit </w:t>
            </w:r>
          </w:p>
        </w:tc>
      </w:tr>
      <w:tr w:rsidR="007F049D" w:rsidRPr="007F049D" w14:paraId="307CF68D" w14:textId="77777777" w:rsidTr="00C13E2F">
        <w:trPr>
          <w:cantSplit/>
          <w:trHeight w:val="107"/>
        </w:trPr>
        <w:tc>
          <w:tcPr>
            <w:tcW w:w="2705" w:type="dxa"/>
            <w:vAlign w:val="center"/>
          </w:tcPr>
          <w:p w14:paraId="26F6A27D" w14:textId="77777777" w:rsidR="00905CCE" w:rsidRDefault="007F049D" w:rsidP="007F049D">
            <w:pPr>
              <w:rPr>
                <w:rFonts w:eastAsia="Arial" w:cs="Arial"/>
                <w:szCs w:val="22"/>
              </w:rPr>
            </w:pPr>
            <w:r w:rsidRPr="007F049D">
              <w:rPr>
                <w:rFonts w:eastAsia="Arial" w:cs="Arial"/>
                <w:szCs w:val="22"/>
              </w:rPr>
              <w:t xml:space="preserve">Relenza </w:t>
            </w:r>
          </w:p>
          <w:p w14:paraId="2934E7B3" w14:textId="0834E2F1" w:rsidR="007F049D" w:rsidRPr="007F049D" w:rsidRDefault="007F049D" w:rsidP="007F049D">
            <w:pPr>
              <w:rPr>
                <w:rFonts w:eastAsia="Arial" w:cs="Arial"/>
                <w:szCs w:val="22"/>
              </w:rPr>
            </w:pPr>
            <w:r w:rsidRPr="007F049D">
              <w:rPr>
                <w:rFonts w:eastAsia="Arial" w:cs="Arial"/>
                <w:szCs w:val="22"/>
              </w:rPr>
              <w:t>(zanamivir)</w:t>
            </w:r>
          </w:p>
        </w:tc>
        <w:tc>
          <w:tcPr>
            <w:tcW w:w="2706" w:type="dxa"/>
            <w:vAlign w:val="center"/>
          </w:tcPr>
          <w:p w14:paraId="6DA975C6" w14:textId="77777777" w:rsidR="007F049D" w:rsidRPr="007F049D" w:rsidRDefault="007F049D" w:rsidP="007F049D">
            <w:pPr>
              <w:rPr>
                <w:rFonts w:eastAsia="Arial" w:cs="Arial"/>
                <w:szCs w:val="22"/>
              </w:rPr>
            </w:pPr>
            <w:r w:rsidRPr="007F049D">
              <w:rPr>
                <w:rFonts w:eastAsia="Arial" w:cs="Arial"/>
                <w:szCs w:val="22"/>
              </w:rPr>
              <w:t>Treatment or Household Prophylaxis</w:t>
            </w:r>
          </w:p>
        </w:tc>
        <w:tc>
          <w:tcPr>
            <w:tcW w:w="2706" w:type="dxa"/>
            <w:vAlign w:val="center"/>
          </w:tcPr>
          <w:p w14:paraId="19180C2B" w14:textId="77777777" w:rsidR="007F049D" w:rsidRPr="007F049D" w:rsidRDefault="007F049D" w:rsidP="007F049D">
            <w:pPr>
              <w:rPr>
                <w:rFonts w:eastAsia="Arial" w:cs="Arial"/>
                <w:szCs w:val="22"/>
              </w:rPr>
            </w:pPr>
            <w:r w:rsidRPr="007F049D">
              <w:rPr>
                <w:rFonts w:eastAsia="Arial" w:cs="Arial"/>
                <w:szCs w:val="22"/>
              </w:rPr>
              <w:t>5 mg blister per inhalation</w:t>
            </w:r>
          </w:p>
        </w:tc>
        <w:tc>
          <w:tcPr>
            <w:tcW w:w="2706" w:type="dxa"/>
            <w:vAlign w:val="center"/>
          </w:tcPr>
          <w:p w14:paraId="4A977C00" w14:textId="77777777" w:rsidR="007F049D" w:rsidRPr="007F049D" w:rsidRDefault="007F049D" w:rsidP="007F049D">
            <w:pPr>
              <w:rPr>
                <w:rFonts w:eastAsia="Arial" w:cs="Arial"/>
                <w:szCs w:val="22"/>
              </w:rPr>
            </w:pPr>
            <w:r w:rsidRPr="007F049D">
              <w:rPr>
                <w:rFonts w:eastAsia="Arial" w:cs="Arial"/>
                <w:szCs w:val="22"/>
              </w:rPr>
              <w:t>20 blisters / 90 days</w:t>
            </w:r>
          </w:p>
        </w:tc>
      </w:tr>
      <w:tr w:rsidR="007F049D" w:rsidRPr="007F049D" w14:paraId="568A8CAF" w14:textId="77777777" w:rsidTr="00C13E2F">
        <w:trPr>
          <w:cantSplit/>
          <w:trHeight w:val="107"/>
        </w:trPr>
        <w:tc>
          <w:tcPr>
            <w:tcW w:w="2705" w:type="dxa"/>
            <w:vAlign w:val="center"/>
          </w:tcPr>
          <w:p w14:paraId="53D92C9B" w14:textId="77777777" w:rsidR="00905CCE" w:rsidRDefault="007F049D" w:rsidP="007F049D">
            <w:pPr>
              <w:rPr>
                <w:rFonts w:eastAsia="Arial" w:cs="Arial"/>
                <w:szCs w:val="22"/>
              </w:rPr>
            </w:pPr>
            <w:r w:rsidRPr="007F049D">
              <w:rPr>
                <w:rFonts w:eastAsia="Arial" w:cs="Arial"/>
                <w:szCs w:val="22"/>
              </w:rPr>
              <w:t xml:space="preserve">Relenza </w:t>
            </w:r>
          </w:p>
          <w:p w14:paraId="5B53FB4D" w14:textId="36470F40" w:rsidR="007F049D" w:rsidRPr="007F049D" w:rsidRDefault="007F049D" w:rsidP="007F049D">
            <w:pPr>
              <w:rPr>
                <w:rFonts w:eastAsia="Arial" w:cs="Arial"/>
                <w:szCs w:val="22"/>
              </w:rPr>
            </w:pPr>
            <w:r w:rsidRPr="007F049D">
              <w:rPr>
                <w:rFonts w:eastAsia="Arial" w:cs="Arial"/>
                <w:szCs w:val="22"/>
              </w:rPr>
              <w:t>(zanamivir)</w:t>
            </w:r>
          </w:p>
        </w:tc>
        <w:tc>
          <w:tcPr>
            <w:tcW w:w="2706" w:type="dxa"/>
            <w:vAlign w:val="center"/>
          </w:tcPr>
          <w:p w14:paraId="3FDC8E04" w14:textId="77777777" w:rsidR="007F049D" w:rsidRPr="007F049D" w:rsidRDefault="007F049D" w:rsidP="007F049D">
            <w:pPr>
              <w:rPr>
                <w:rFonts w:eastAsia="Arial" w:cs="Arial"/>
                <w:szCs w:val="22"/>
              </w:rPr>
            </w:pPr>
            <w:r w:rsidRPr="007F049D">
              <w:rPr>
                <w:rFonts w:eastAsia="Arial" w:cs="Arial"/>
                <w:szCs w:val="22"/>
              </w:rPr>
              <w:t>Community Outbreak Prophylaxis</w:t>
            </w:r>
          </w:p>
        </w:tc>
        <w:tc>
          <w:tcPr>
            <w:tcW w:w="2706" w:type="dxa"/>
            <w:vAlign w:val="center"/>
          </w:tcPr>
          <w:p w14:paraId="0B410F84" w14:textId="77777777" w:rsidR="007F049D" w:rsidRPr="007F049D" w:rsidRDefault="007F049D" w:rsidP="007F049D">
            <w:pPr>
              <w:rPr>
                <w:rFonts w:eastAsia="Arial" w:cs="Arial"/>
                <w:szCs w:val="22"/>
              </w:rPr>
            </w:pPr>
            <w:r w:rsidRPr="007F049D">
              <w:rPr>
                <w:rFonts w:eastAsia="Arial" w:cs="Arial"/>
                <w:szCs w:val="22"/>
              </w:rPr>
              <w:t>5 mg blister per inhalation</w:t>
            </w:r>
          </w:p>
        </w:tc>
        <w:tc>
          <w:tcPr>
            <w:tcW w:w="2706" w:type="dxa"/>
            <w:vAlign w:val="center"/>
          </w:tcPr>
          <w:p w14:paraId="59FCE92F" w14:textId="77777777" w:rsidR="007F049D" w:rsidRPr="007F049D" w:rsidRDefault="007F049D" w:rsidP="007F049D">
            <w:pPr>
              <w:rPr>
                <w:rFonts w:eastAsia="Arial" w:cs="Arial"/>
                <w:szCs w:val="22"/>
              </w:rPr>
            </w:pPr>
            <w:r w:rsidRPr="007F049D">
              <w:rPr>
                <w:rFonts w:eastAsia="Arial" w:cs="Arial"/>
                <w:szCs w:val="22"/>
              </w:rPr>
              <w:t>60 blisters / 90 days</w:t>
            </w:r>
          </w:p>
        </w:tc>
      </w:tr>
      <w:tr w:rsidR="007F049D" w:rsidRPr="007F049D" w14:paraId="0640CFB5" w14:textId="77777777" w:rsidTr="00C13E2F">
        <w:trPr>
          <w:cantSplit/>
          <w:trHeight w:val="504"/>
        </w:trPr>
        <w:tc>
          <w:tcPr>
            <w:tcW w:w="2705" w:type="dxa"/>
            <w:vAlign w:val="center"/>
          </w:tcPr>
          <w:p w14:paraId="1C4402E6" w14:textId="77777777" w:rsidR="007F049D" w:rsidRPr="007F049D" w:rsidRDefault="007F049D" w:rsidP="007F049D">
            <w:pPr>
              <w:rPr>
                <w:rFonts w:eastAsia="Arial" w:cs="Arial"/>
                <w:szCs w:val="22"/>
              </w:rPr>
            </w:pPr>
            <w:r w:rsidRPr="007F049D">
              <w:rPr>
                <w:rFonts w:eastAsia="Arial" w:cs="Arial"/>
                <w:szCs w:val="22"/>
              </w:rPr>
              <w:t>Tamiflu</w:t>
            </w:r>
          </w:p>
          <w:p w14:paraId="782FE58D"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vAlign w:val="center"/>
          </w:tcPr>
          <w:p w14:paraId="608654AC" w14:textId="77777777" w:rsidR="007F049D" w:rsidRPr="007F049D" w:rsidRDefault="007F049D" w:rsidP="007F049D">
            <w:pPr>
              <w:rPr>
                <w:rFonts w:eastAsia="Arial" w:cs="Arial"/>
                <w:szCs w:val="22"/>
              </w:rPr>
            </w:pPr>
            <w:r w:rsidRPr="007F049D">
              <w:rPr>
                <w:rFonts w:eastAsia="Arial" w:cs="Arial"/>
                <w:szCs w:val="22"/>
              </w:rPr>
              <w:t>Treatment or Household Prophylaxis</w:t>
            </w:r>
          </w:p>
        </w:tc>
        <w:tc>
          <w:tcPr>
            <w:tcW w:w="2706" w:type="dxa"/>
          </w:tcPr>
          <w:p w14:paraId="1C6B2D78" w14:textId="77777777" w:rsidR="007F049D" w:rsidRPr="007F049D" w:rsidRDefault="007F049D" w:rsidP="007F049D">
            <w:pPr>
              <w:rPr>
                <w:rFonts w:eastAsia="Arial" w:cs="Arial"/>
                <w:szCs w:val="22"/>
              </w:rPr>
            </w:pPr>
            <w:r w:rsidRPr="007F049D">
              <w:rPr>
                <w:rFonts w:eastAsia="Arial" w:cs="Arial"/>
                <w:szCs w:val="22"/>
              </w:rPr>
              <w:t>360 mg/60mL (6 mg/mL) suspension</w:t>
            </w:r>
          </w:p>
        </w:tc>
        <w:tc>
          <w:tcPr>
            <w:tcW w:w="2706" w:type="dxa"/>
          </w:tcPr>
          <w:p w14:paraId="56BC060C" w14:textId="77777777" w:rsidR="007F049D" w:rsidRPr="007F049D" w:rsidRDefault="007F049D" w:rsidP="007F049D">
            <w:pPr>
              <w:rPr>
                <w:rFonts w:eastAsia="Arial" w:cs="Arial"/>
                <w:szCs w:val="22"/>
              </w:rPr>
            </w:pPr>
            <w:r w:rsidRPr="007F049D">
              <w:rPr>
                <w:rFonts w:eastAsia="Arial" w:cs="Arial"/>
                <w:szCs w:val="22"/>
              </w:rPr>
              <w:t>180 mL / 90 days</w:t>
            </w:r>
          </w:p>
        </w:tc>
      </w:tr>
      <w:tr w:rsidR="007F049D" w:rsidRPr="007F049D" w14:paraId="017F782A" w14:textId="77777777" w:rsidTr="00C13E2F">
        <w:trPr>
          <w:cantSplit/>
          <w:trHeight w:val="324"/>
        </w:trPr>
        <w:tc>
          <w:tcPr>
            <w:tcW w:w="2705" w:type="dxa"/>
            <w:vAlign w:val="center"/>
          </w:tcPr>
          <w:p w14:paraId="7F6D01F5" w14:textId="77777777" w:rsidR="007F049D" w:rsidRPr="007F049D" w:rsidRDefault="007F049D" w:rsidP="007F049D">
            <w:pPr>
              <w:rPr>
                <w:rFonts w:eastAsia="Arial" w:cs="Arial"/>
                <w:szCs w:val="22"/>
              </w:rPr>
            </w:pPr>
            <w:r w:rsidRPr="007F049D">
              <w:rPr>
                <w:rFonts w:eastAsia="Arial" w:cs="Arial"/>
                <w:szCs w:val="22"/>
              </w:rPr>
              <w:t>Tamiflu</w:t>
            </w:r>
          </w:p>
          <w:p w14:paraId="13F0FE7B"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vAlign w:val="center"/>
          </w:tcPr>
          <w:p w14:paraId="1F5F6C82" w14:textId="77777777" w:rsidR="007F049D" w:rsidRPr="007F049D" w:rsidRDefault="007F049D" w:rsidP="007F049D">
            <w:pPr>
              <w:rPr>
                <w:rFonts w:eastAsia="Arial" w:cs="Arial"/>
                <w:szCs w:val="22"/>
              </w:rPr>
            </w:pPr>
            <w:r w:rsidRPr="007F049D">
              <w:rPr>
                <w:rFonts w:eastAsia="Arial" w:cs="Arial"/>
                <w:szCs w:val="22"/>
              </w:rPr>
              <w:t>Treatment or Household Prophylaxis</w:t>
            </w:r>
          </w:p>
        </w:tc>
        <w:tc>
          <w:tcPr>
            <w:tcW w:w="2706" w:type="dxa"/>
          </w:tcPr>
          <w:p w14:paraId="2AD27711" w14:textId="77777777" w:rsidR="007F049D" w:rsidRPr="007F049D" w:rsidRDefault="007F049D" w:rsidP="007F049D">
            <w:pPr>
              <w:rPr>
                <w:rFonts w:eastAsia="Arial" w:cs="Arial"/>
                <w:szCs w:val="22"/>
              </w:rPr>
            </w:pPr>
            <w:r w:rsidRPr="007F049D">
              <w:rPr>
                <w:rFonts w:eastAsia="Arial" w:cs="Arial"/>
                <w:szCs w:val="22"/>
              </w:rPr>
              <w:t>30 mg per capsule</w:t>
            </w:r>
          </w:p>
        </w:tc>
        <w:tc>
          <w:tcPr>
            <w:tcW w:w="2706" w:type="dxa"/>
          </w:tcPr>
          <w:p w14:paraId="672E97B9" w14:textId="77777777" w:rsidR="007F049D" w:rsidRPr="007F049D" w:rsidRDefault="007F049D" w:rsidP="007F049D">
            <w:pPr>
              <w:rPr>
                <w:rFonts w:eastAsia="Arial" w:cs="Arial"/>
                <w:szCs w:val="22"/>
              </w:rPr>
            </w:pPr>
            <w:r w:rsidRPr="007F049D">
              <w:rPr>
                <w:rFonts w:eastAsia="Arial" w:cs="Arial"/>
                <w:szCs w:val="22"/>
              </w:rPr>
              <w:t>20 capsules / 90 days</w:t>
            </w:r>
          </w:p>
        </w:tc>
      </w:tr>
      <w:tr w:rsidR="007F049D" w:rsidRPr="007F049D" w14:paraId="391F6354" w14:textId="77777777" w:rsidTr="00C13E2F">
        <w:trPr>
          <w:cantSplit/>
          <w:trHeight w:val="288"/>
        </w:trPr>
        <w:tc>
          <w:tcPr>
            <w:tcW w:w="2705" w:type="dxa"/>
            <w:vAlign w:val="center"/>
          </w:tcPr>
          <w:p w14:paraId="1231A293" w14:textId="77777777" w:rsidR="007F049D" w:rsidRPr="007F049D" w:rsidRDefault="007F049D" w:rsidP="007F049D">
            <w:pPr>
              <w:rPr>
                <w:rFonts w:eastAsia="Arial" w:cs="Arial"/>
                <w:szCs w:val="22"/>
              </w:rPr>
            </w:pPr>
            <w:r w:rsidRPr="007F049D">
              <w:rPr>
                <w:rFonts w:eastAsia="Arial" w:cs="Arial"/>
                <w:szCs w:val="22"/>
              </w:rPr>
              <w:t>Tamiflu</w:t>
            </w:r>
          </w:p>
          <w:p w14:paraId="1536A78A"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vAlign w:val="center"/>
          </w:tcPr>
          <w:p w14:paraId="6CC618B5" w14:textId="77777777" w:rsidR="007F049D" w:rsidRPr="007F049D" w:rsidRDefault="007F049D" w:rsidP="007F049D">
            <w:pPr>
              <w:rPr>
                <w:rFonts w:eastAsia="Arial" w:cs="Arial"/>
                <w:szCs w:val="22"/>
              </w:rPr>
            </w:pPr>
            <w:r w:rsidRPr="007F049D">
              <w:rPr>
                <w:rFonts w:eastAsia="Arial" w:cs="Arial"/>
                <w:szCs w:val="22"/>
              </w:rPr>
              <w:t>Treatment or Household Prophylaxis</w:t>
            </w:r>
          </w:p>
        </w:tc>
        <w:tc>
          <w:tcPr>
            <w:tcW w:w="2706" w:type="dxa"/>
          </w:tcPr>
          <w:p w14:paraId="06AEC976" w14:textId="77777777" w:rsidR="007F049D" w:rsidRPr="007F049D" w:rsidRDefault="007F049D" w:rsidP="007F049D">
            <w:pPr>
              <w:rPr>
                <w:rFonts w:eastAsia="Arial" w:cs="Arial"/>
                <w:szCs w:val="22"/>
              </w:rPr>
            </w:pPr>
            <w:r w:rsidRPr="007F049D">
              <w:rPr>
                <w:rFonts w:eastAsia="Arial" w:cs="Arial"/>
                <w:szCs w:val="22"/>
              </w:rPr>
              <w:t>45 mg per capsule</w:t>
            </w:r>
          </w:p>
        </w:tc>
        <w:tc>
          <w:tcPr>
            <w:tcW w:w="2706" w:type="dxa"/>
          </w:tcPr>
          <w:p w14:paraId="7A736CBC" w14:textId="77777777" w:rsidR="007F049D" w:rsidRPr="007F049D" w:rsidRDefault="007F049D" w:rsidP="007F049D">
            <w:pPr>
              <w:rPr>
                <w:rFonts w:eastAsia="Arial" w:cs="Arial"/>
                <w:szCs w:val="22"/>
              </w:rPr>
            </w:pPr>
            <w:r w:rsidRPr="007F049D">
              <w:rPr>
                <w:rFonts w:eastAsia="Arial" w:cs="Arial"/>
                <w:szCs w:val="22"/>
              </w:rPr>
              <w:t>10 capsules / 90 days</w:t>
            </w:r>
          </w:p>
        </w:tc>
      </w:tr>
      <w:tr w:rsidR="007F049D" w:rsidRPr="007F049D" w14:paraId="7380F7F9" w14:textId="77777777" w:rsidTr="00C13E2F">
        <w:trPr>
          <w:cantSplit/>
          <w:trHeight w:val="252"/>
        </w:trPr>
        <w:tc>
          <w:tcPr>
            <w:tcW w:w="2705" w:type="dxa"/>
            <w:vAlign w:val="center"/>
          </w:tcPr>
          <w:p w14:paraId="04327140" w14:textId="77777777" w:rsidR="007F049D" w:rsidRPr="007F049D" w:rsidRDefault="007F049D" w:rsidP="007F049D">
            <w:pPr>
              <w:rPr>
                <w:rFonts w:eastAsia="Arial" w:cs="Arial"/>
                <w:szCs w:val="22"/>
              </w:rPr>
            </w:pPr>
            <w:r w:rsidRPr="007F049D">
              <w:rPr>
                <w:rFonts w:eastAsia="Arial" w:cs="Arial"/>
                <w:szCs w:val="22"/>
              </w:rPr>
              <w:t>Tamiflu</w:t>
            </w:r>
          </w:p>
          <w:p w14:paraId="1E2F4EA9"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vAlign w:val="center"/>
          </w:tcPr>
          <w:p w14:paraId="17E97BE5" w14:textId="77777777" w:rsidR="007F049D" w:rsidRPr="007F049D" w:rsidRDefault="007F049D" w:rsidP="007F049D">
            <w:pPr>
              <w:rPr>
                <w:rFonts w:eastAsia="Arial" w:cs="Arial"/>
                <w:szCs w:val="22"/>
              </w:rPr>
            </w:pPr>
            <w:r w:rsidRPr="007F049D">
              <w:rPr>
                <w:rFonts w:eastAsia="Arial" w:cs="Arial"/>
                <w:szCs w:val="22"/>
              </w:rPr>
              <w:t>Treatment or Household Prophylaxis</w:t>
            </w:r>
          </w:p>
        </w:tc>
        <w:tc>
          <w:tcPr>
            <w:tcW w:w="2706" w:type="dxa"/>
          </w:tcPr>
          <w:p w14:paraId="7342B324" w14:textId="77777777" w:rsidR="007F049D" w:rsidRPr="007F049D" w:rsidRDefault="007F049D" w:rsidP="007F049D">
            <w:pPr>
              <w:rPr>
                <w:rFonts w:eastAsia="Arial" w:cs="Arial"/>
                <w:szCs w:val="22"/>
              </w:rPr>
            </w:pPr>
            <w:r w:rsidRPr="007F049D">
              <w:rPr>
                <w:rFonts w:eastAsia="Arial" w:cs="Arial"/>
                <w:szCs w:val="22"/>
              </w:rPr>
              <w:t>75 mg per capsule</w:t>
            </w:r>
          </w:p>
        </w:tc>
        <w:tc>
          <w:tcPr>
            <w:tcW w:w="2706" w:type="dxa"/>
          </w:tcPr>
          <w:p w14:paraId="60DF59B2" w14:textId="77777777" w:rsidR="007F049D" w:rsidRPr="007F049D" w:rsidRDefault="007F049D" w:rsidP="007F049D">
            <w:pPr>
              <w:rPr>
                <w:rFonts w:eastAsia="Arial" w:cs="Arial"/>
                <w:szCs w:val="22"/>
              </w:rPr>
            </w:pPr>
            <w:r w:rsidRPr="007F049D">
              <w:rPr>
                <w:rFonts w:eastAsia="Arial" w:cs="Arial"/>
                <w:szCs w:val="22"/>
              </w:rPr>
              <w:t>10 capsules / 90 days</w:t>
            </w:r>
          </w:p>
        </w:tc>
      </w:tr>
      <w:tr w:rsidR="007F049D" w:rsidRPr="007F049D" w14:paraId="3BD53147" w14:textId="77777777" w:rsidTr="00C13E2F">
        <w:trPr>
          <w:cantSplit/>
          <w:trHeight w:val="252"/>
        </w:trPr>
        <w:tc>
          <w:tcPr>
            <w:tcW w:w="2705" w:type="dxa"/>
            <w:vAlign w:val="center"/>
          </w:tcPr>
          <w:p w14:paraId="35B60464" w14:textId="77777777" w:rsidR="007F049D" w:rsidRPr="007F049D" w:rsidRDefault="007F049D" w:rsidP="007F049D">
            <w:pPr>
              <w:rPr>
                <w:rFonts w:eastAsia="Arial" w:cs="Arial"/>
                <w:szCs w:val="22"/>
              </w:rPr>
            </w:pPr>
            <w:r w:rsidRPr="007F049D">
              <w:rPr>
                <w:rFonts w:eastAsia="Arial" w:cs="Arial"/>
                <w:szCs w:val="22"/>
              </w:rPr>
              <w:t>Tamiflu</w:t>
            </w:r>
          </w:p>
          <w:p w14:paraId="22D350C3"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vAlign w:val="center"/>
          </w:tcPr>
          <w:p w14:paraId="1FCE19EA" w14:textId="77777777" w:rsidR="007F049D" w:rsidRPr="007F049D" w:rsidRDefault="007F049D" w:rsidP="007F049D">
            <w:pPr>
              <w:rPr>
                <w:rFonts w:eastAsia="Arial" w:cs="Arial"/>
                <w:szCs w:val="22"/>
              </w:rPr>
            </w:pPr>
            <w:r w:rsidRPr="007F049D">
              <w:rPr>
                <w:rFonts w:eastAsia="Arial" w:cs="Arial"/>
                <w:szCs w:val="22"/>
              </w:rPr>
              <w:t>Community Outbreak Prophylaxis</w:t>
            </w:r>
          </w:p>
        </w:tc>
        <w:tc>
          <w:tcPr>
            <w:tcW w:w="2706" w:type="dxa"/>
          </w:tcPr>
          <w:p w14:paraId="40C4EE04" w14:textId="77777777" w:rsidR="007F049D" w:rsidRPr="007F049D" w:rsidRDefault="007F049D" w:rsidP="007F049D">
            <w:pPr>
              <w:rPr>
                <w:rFonts w:eastAsia="Arial" w:cs="Arial"/>
                <w:szCs w:val="22"/>
              </w:rPr>
            </w:pPr>
            <w:r w:rsidRPr="007F049D">
              <w:rPr>
                <w:rFonts w:eastAsia="Arial" w:cs="Arial"/>
                <w:szCs w:val="22"/>
              </w:rPr>
              <w:t>360 mg/60mL (6 mg/mL) suspension</w:t>
            </w:r>
          </w:p>
        </w:tc>
        <w:tc>
          <w:tcPr>
            <w:tcW w:w="2706" w:type="dxa"/>
          </w:tcPr>
          <w:p w14:paraId="5DEBD848" w14:textId="77777777" w:rsidR="007F049D" w:rsidRPr="007F049D" w:rsidRDefault="007F049D" w:rsidP="007F049D">
            <w:pPr>
              <w:rPr>
                <w:rFonts w:eastAsia="Arial" w:cs="Arial"/>
                <w:szCs w:val="22"/>
              </w:rPr>
            </w:pPr>
            <w:r w:rsidRPr="007F049D">
              <w:rPr>
                <w:rFonts w:eastAsia="Arial" w:cs="Arial"/>
                <w:szCs w:val="22"/>
              </w:rPr>
              <w:t>540 mL / 90 days</w:t>
            </w:r>
          </w:p>
        </w:tc>
      </w:tr>
      <w:tr w:rsidR="007F049D" w:rsidRPr="007F049D" w14:paraId="782E704A" w14:textId="77777777" w:rsidTr="00C13E2F">
        <w:trPr>
          <w:cantSplit/>
          <w:trHeight w:val="252"/>
        </w:trPr>
        <w:tc>
          <w:tcPr>
            <w:tcW w:w="2705" w:type="dxa"/>
            <w:vAlign w:val="center"/>
          </w:tcPr>
          <w:p w14:paraId="7CD03294" w14:textId="77777777" w:rsidR="007F049D" w:rsidRPr="007F049D" w:rsidRDefault="007F049D" w:rsidP="007F049D">
            <w:pPr>
              <w:rPr>
                <w:rFonts w:eastAsia="Arial" w:cs="Arial"/>
                <w:szCs w:val="22"/>
              </w:rPr>
            </w:pPr>
            <w:r w:rsidRPr="007F049D">
              <w:rPr>
                <w:rFonts w:eastAsia="Arial" w:cs="Arial"/>
                <w:szCs w:val="22"/>
              </w:rPr>
              <w:t>Tamiflu</w:t>
            </w:r>
          </w:p>
          <w:p w14:paraId="5A314409"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vAlign w:val="center"/>
          </w:tcPr>
          <w:p w14:paraId="2F0BF93E" w14:textId="77777777" w:rsidR="007F049D" w:rsidRPr="007F049D" w:rsidRDefault="007F049D" w:rsidP="007F049D">
            <w:pPr>
              <w:rPr>
                <w:rFonts w:eastAsia="Arial" w:cs="Arial"/>
                <w:szCs w:val="22"/>
              </w:rPr>
            </w:pPr>
            <w:r w:rsidRPr="007F049D">
              <w:rPr>
                <w:rFonts w:eastAsia="Arial" w:cs="Arial"/>
                <w:szCs w:val="22"/>
              </w:rPr>
              <w:t>Community Outbreak Prophylaxis</w:t>
            </w:r>
          </w:p>
        </w:tc>
        <w:tc>
          <w:tcPr>
            <w:tcW w:w="2706" w:type="dxa"/>
          </w:tcPr>
          <w:p w14:paraId="79658F8B" w14:textId="77777777" w:rsidR="007F049D" w:rsidRPr="007F049D" w:rsidRDefault="007F049D" w:rsidP="007F049D">
            <w:pPr>
              <w:rPr>
                <w:rFonts w:eastAsia="Arial" w:cs="Arial"/>
                <w:szCs w:val="22"/>
              </w:rPr>
            </w:pPr>
            <w:r w:rsidRPr="007F049D">
              <w:rPr>
                <w:rFonts w:eastAsia="Arial" w:cs="Arial"/>
                <w:szCs w:val="22"/>
              </w:rPr>
              <w:t>30 mg per capsule</w:t>
            </w:r>
          </w:p>
        </w:tc>
        <w:tc>
          <w:tcPr>
            <w:tcW w:w="2706" w:type="dxa"/>
          </w:tcPr>
          <w:p w14:paraId="4840C766" w14:textId="77777777" w:rsidR="007F049D" w:rsidRPr="007F049D" w:rsidRDefault="007F049D" w:rsidP="007F049D">
            <w:pPr>
              <w:rPr>
                <w:rFonts w:eastAsia="Arial" w:cs="Arial"/>
                <w:szCs w:val="22"/>
              </w:rPr>
            </w:pPr>
            <w:r w:rsidRPr="007F049D">
              <w:rPr>
                <w:rFonts w:eastAsia="Arial" w:cs="Arial"/>
                <w:szCs w:val="22"/>
              </w:rPr>
              <w:t>90 capsules / 90 days</w:t>
            </w:r>
          </w:p>
        </w:tc>
      </w:tr>
      <w:tr w:rsidR="007F049D" w:rsidRPr="007F049D" w14:paraId="2578874B" w14:textId="77777777" w:rsidTr="00C13E2F">
        <w:trPr>
          <w:cantSplit/>
          <w:trHeight w:val="252"/>
        </w:trPr>
        <w:tc>
          <w:tcPr>
            <w:tcW w:w="2705" w:type="dxa"/>
            <w:vAlign w:val="center"/>
          </w:tcPr>
          <w:p w14:paraId="2896B7BA" w14:textId="77777777" w:rsidR="007F049D" w:rsidRPr="007F049D" w:rsidRDefault="007F049D" w:rsidP="007F049D">
            <w:pPr>
              <w:rPr>
                <w:rFonts w:eastAsia="Arial" w:cs="Arial"/>
                <w:szCs w:val="22"/>
              </w:rPr>
            </w:pPr>
            <w:r w:rsidRPr="007F049D">
              <w:rPr>
                <w:rFonts w:eastAsia="Arial" w:cs="Arial"/>
                <w:szCs w:val="22"/>
              </w:rPr>
              <w:t>Tamiflu</w:t>
            </w:r>
          </w:p>
          <w:p w14:paraId="39132354"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vAlign w:val="center"/>
          </w:tcPr>
          <w:p w14:paraId="2E3F0F4E" w14:textId="77777777" w:rsidR="007F049D" w:rsidRPr="007F049D" w:rsidRDefault="007F049D" w:rsidP="007F049D">
            <w:pPr>
              <w:rPr>
                <w:rFonts w:eastAsia="Arial" w:cs="Arial"/>
                <w:szCs w:val="22"/>
              </w:rPr>
            </w:pPr>
            <w:r w:rsidRPr="007F049D">
              <w:rPr>
                <w:rFonts w:eastAsia="Arial" w:cs="Arial"/>
                <w:szCs w:val="22"/>
              </w:rPr>
              <w:t>Community Outbreak Prophylaxis</w:t>
            </w:r>
          </w:p>
        </w:tc>
        <w:tc>
          <w:tcPr>
            <w:tcW w:w="2706" w:type="dxa"/>
          </w:tcPr>
          <w:p w14:paraId="443AE93E" w14:textId="77777777" w:rsidR="007F049D" w:rsidRPr="007F049D" w:rsidRDefault="007F049D" w:rsidP="007F049D">
            <w:pPr>
              <w:rPr>
                <w:rFonts w:eastAsia="Arial" w:cs="Arial"/>
                <w:szCs w:val="22"/>
              </w:rPr>
            </w:pPr>
            <w:r w:rsidRPr="007F049D">
              <w:rPr>
                <w:rFonts w:eastAsia="Arial" w:cs="Arial"/>
                <w:szCs w:val="22"/>
              </w:rPr>
              <w:t>45 mg per capsule</w:t>
            </w:r>
          </w:p>
        </w:tc>
        <w:tc>
          <w:tcPr>
            <w:tcW w:w="2706" w:type="dxa"/>
          </w:tcPr>
          <w:p w14:paraId="2312DB6C" w14:textId="77777777" w:rsidR="007F049D" w:rsidRPr="007F049D" w:rsidRDefault="007F049D" w:rsidP="007F049D">
            <w:pPr>
              <w:rPr>
                <w:rFonts w:eastAsia="Arial" w:cs="Arial"/>
                <w:szCs w:val="22"/>
              </w:rPr>
            </w:pPr>
            <w:r w:rsidRPr="007F049D">
              <w:rPr>
                <w:rFonts w:eastAsia="Arial" w:cs="Arial"/>
                <w:szCs w:val="22"/>
              </w:rPr>
              <w:t>50 capsules / 90 days</w:t>
            </w:r>
          </w:p>
        </w:tc>
      </w:tr>
      <w:tr w:rsidR="007F049D" w:rsidRPr="007F049D" w14:paraId="43E02F81" w14:textId="77777777" w:rsidTr="00C13E2F">
        <w:trPr>
          <w:cantSplit/>
          <w:trHeight w:val="252"/>
        </w:trPr>
        <w:tc>
          <w:tcPr>
            <w:tcW w:w="2705" w:type="dxa"/>
            <w:vAlign w:val="center"/>
          </w:tcPr>
          <w:p w14:paraId="1BEAFF8C" w14:textId="77777777" w:rsidR="007F049D" w:rsidRPr="007F049D" w:rsidRDefault="007F049D" w:rsidP="007F049D">
            <w:pPr>
              <w:rPr>
                <w:rFonts w:eastAsia="Arial" w:cs="Arial"/>
                <w:szCs w:val="22"/>
              </w:rPr>
            </w:pPr>
            <w:r w:rsidRPr="007F049D">
              <w:rPr>
                <w:rFonts w:eastAsia="Arial" w:cs="Arial"/>
                <w:szCs w:val="22"/>
              </w:rPr>
              <w:t>Tamiflu</w:t>
            </w:r>
          </w:p>
          <w:p w14:paraId="215A5349"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vAlign w:val="center"/>
          </w:tcPr>
          <w:p w14:paraId="2139DE8E" w14:textId="77777777" w:rsidR="007F049D" w:rsidRPr="007F049D" w:rsidRDefault="007F049D" w:rsidP="007F049D">
            <w:pPr>
              <w:rPr>
                <w:rFonts w:eastAsia="Arial" w:cs="Arial"/>
                <w:szCs w:val="22"/>
              </w:rPr>
            </w:pPr>
            <w:r w:rsidRPr="007F049D">
              <w:rPr>
                <w:rFonts w:eastAsia="Arial" w:cs="Arial"/>
                <w:szCs w:val="22"/>
              </w:rPr>
              <w:t>Community Outbreak Prophylaxis</w:t>
            </w:r>
          </w:p>
        </w:tc>
        <w:tc>
          <w:tcPr>
            <w:tcW w:w="2706" w:type="dxa"/>
          </w:tcPr>
          <w:p w14:paraId="441BA88E" w14:textId="77777777" w:rsidR="007F049D" w:rsidRPr="007F049D" w:rsidRDefault="007F049D" w:rsidP="007F049D">
            <w:pPr>
              <w:rPr>
                <w:rFonts w:eastAsia="Arial" w:cs="Arial"/>
                <w:szCs w:val="22"/>
              </w:rPr>
            </w:pPr>
            <w:r w:rsidRPr="007F049D">
              <w:rPr>
                <w:rFonts w:eastAsia="Arial" w:cs="Arial"/>
                <w:szCs w:val="22"/>
              </w:rPr>
              <w:t>75 mg per capsule</w:t>
            </w:r>
          </w:p>
        </w:tc>
        <w:tc>
          <w:tcPr>
            <w:tcW w:w="2706" w:type="dxa"/>
          </w:tcPr>
          <w:p w14:paraId="741E278D" w14:textId="77777777" w:rsidR="007F049D" w:rsidRPr="007F049D" w:rsidRDefault="007F049D" w:rsidP="007F049D">
            <w:pPr>
              <w:rPr>
                <w:rFonts w:eastAsia="Arial" w:cs="Arial"/>
                <w:szCs w:val="22"/>
              </w:rPr>
            </w:pPr>
            <w:r w:rsidRPr="007F049D">
              <w:rPr>
                <w:rFonts w:eastAsia="Arial" w:cs="Arial"/>
                <w:szCs w:val="22"/>
              </w:rPr>
              <w:t>50 capsules / 90 days</w:t>
            </w:r>
          </w:p>
        </w:tc>
      </w:tr>
      <w:tr w:rsidR="007F049D" w:rsidRPr="007F049D" w14:paraId="4E9655EB" w14:textId="77777777" w:rsidTr="00C13E2F">
        <w:trPr>
          <w:cantSplit/>
          <w:trHeight w:val="252"/>
        </w:trPr>
        <w:tc>
          <w:tcPr>
            <w:tcW w:w="2705" w:type="dxa"/>
            <w:vAlign w:val="center"/>
          </w:tcPr>
          <w:p w14:paraId="0A8B3545" w14:textId="77777777" w:rsidR="007F049D" w:rsidRPr="007F049D" w:rsidRDefault="007F049D" w:rsidP="007F049D">
            <w:pPr>
              <w:rPr>
                <w:rFonts w:eastAsia="Arial" w:cs="Arial"/>
                <w:szCs w:val="22"/>
              </w:rPr>
            </w:pPr>
            <w:r w:rsidRPr="007F049D">
              <w:rPr>
                <w:rFonts w:eastAsia="Arial" w:cs="Arial"/>
                <w:szCs w:val="22"/>
              </w:rPr>
              <w:t>Tamiflu</w:t>
            </w:r>
          </w:p>
          <w:p w14:paraId="19873D89"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tcPr>
          <w:p w14:paraId="74505D59" w14:textId="77777777" w:rsidR="007F049D" w:rsidRPr="007F049D" w:rsidRDefault="007F049D" w:rsidP="007F049D">
            <w:pPr>
              <w:rPr>
                <w:rFonts w:eastAsia="Arial" w:cs="Arial"/>
                <w:szCs w:val="22"/>
              </w:rPr>
            </w:pPr>
            <w:r w:rsidRPr="007F049D">
              <w:rPr>
                <w:rFonts w:eastAsia="Arial" w:cs="Arial"/>
                <w:szCs w:val="22"/>
              </w:rPr>
              <w:t>Community Outbreak Prophylaxis – Immunocompromised patient</w:t>
            </w:r>
          </w:p>
        </w:tc>
        <w:tc>
          <w:tcPr>
            <w:tcW w:w="2706" w:type="dxa"/>
          </w:tcPr>
          <w:p w14:paraId="4A1A2275" w14:textId="77777777" w:rsidR="007F049D" w:rsidRPr="007F049D" w:rsidRDefault="007F049D" w:rsidP="007F049D">
            <w:pPr>
              <w:rPr>
                <w:rFonts w:eastAsia="Arial" w:cs="Arial"/>
                <w:szCs w:val="22"/>
              </w:rPr>
            </w:pPr>
            <w:r w:rsidRPr="007F049D">
              <w:rPr>
                <w:rFonts w:eastAsia="Arial" w:cs="Arial"/>
                <w:szCs w:val="22"/>
              </w:rPr>
              <w:t>360 mg/60mL (6 mg/mL) suspension</w:t>
            </w:r>
          </w:p>
        </w:tc>
        <w:tc>
          <w:tcPr>
            <w:tcW w:w="2706" w:type="dxa"/>
          </w:tcPr>
          <w:p w14:paraId="67A8B78C" w14:textId="77777777" w:rsidR="007F049D" w:rsidRPr="007F049D" w:rsidRDefault="007F049D" w:rsidP="007F049D">
            <w:pPr>
              <w:rPr>
                <w:rFonts w:eastAsia="Arial" w:cs="Arial"/>
                <w:szCs w:val="22"/>
              </w:rPr>
            </w:pPr>
            <w:r w:rsidRPr="007F049D">
              <w:rPr>
                <w:rFonts w:eastAsia="Arial" w:cs="Arial"/>
                <w:szCs w:val="22"/>
              </w:rPr>
              <w:t>1080 mL / 90 days</w:t>
            </w:r>
          </w:p>
        </w:tc>
      </w:tr>
      <w:tr w:rsidR="007F049D" w:rsidRPr="007F049D" w14:paraId="6D014D49" w14:textId="77777777" w:rsidTr="00C13E2F">
        <w:trPr>
          <w:cantSplit/>
          <w:trHeight w:val="252"/>
        </w:trPr>
        <w:tc>
          <w:tcPr>
            <w:tcW w:w="2705" w:type="dxa"/>
            <w:vAlign w:val="center"/>
          </w:tcPr>
          <w:p w14:paraId="786AECF6" w14:textId="77777777" w:rsidR="007F049D" w:rsidRPr="007F049D" w:rsidRDefault="007F049D" w:rsidP="007F049D">
            <w:pPr>
              <w:rPr>
                <w:rFonts w:eastAsia="Arial" w:cs="Arial"/>
                <w:szCs w:val="22"/>
              </w:rPr>
            </w:pPr>
            <w:r w:rsidRPr="007F049D">
              <w:rPr>
                <w:rFonts w:eastAsia="Arial" w:cs="Arial"/>
                <w:szCs w:val="22"/>
              </w:rPr>
              <w:t>Tamiflu</w:t>
            </w:r>
          </w:p>
          <w:p w14:paraId="39119C58"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tcPr>
          <w:p w14:paraId="73A7A2EC" w14:textId="77777777" w:rsidR="007F049D" w:rsidRPr="007F049D" w:rsidRDefault="007F049D" w:rsidP="007F049D">
            <w:pPr>
              <w:rPr>
                <w:rFonts w:eastAsia="Arial" w:cs="Arial"/>
                <w:szCs w:val="22"/>
              </w:rPr>
            </w:pPr>
            <w:r w:rsidRPr="007F049D">
              <w:rPr>
                <w:rFonts w:eastAsia="Arial" w:cs="Arial"/>
                <w:szCs w:val="22"/>
              </w:rPr>
              <w:t>Community Outbreak Prophylaxis – Immunocompromised patient</w:t>
            </w:r>
          </w:p>
        </w:tc>
        <w:tc>
          <w:tcPr>
            <w:tcW w:w="2706" w:type="dxa"/>
          </w:tcPr>
          <w:p w14:paraId="01223877" w14:textId="77777777" w:rsidR="007F049D" w:rsidRPr="007F049D" w:rsidRDefault="007F049D" w:rsidP="007F049D">
            <w:pPr>
              <w:rPr>
                <w:rFonts w:eastAsia="Arial" w:cs="Arial"/>
                <w:szCs w:val="22"/>
              </w:rPr>
            </w:pPr>
            <w:r w:rsidRPr="007F049D">
              <w:rPr>
                <w:rFonts w:eastAsia="Arial" w:cs="Arial"/>
                <w:szCs w:val="22"/>
              </w:rPr>
              <w:t>30 mg per capsule</w:t>
            </w:r>
          </w:p>
        </w:tc>
        <w:tc>
          <w:tcPr>
            <w:tcW w:w="2706" w:type="dxa"/>
          </w:tcPr>
          <w:p w14:paraId="18DCE31B" w14:textId="77777777" w:rsidR="007F049D" w:rsidRPr="007F049D" w:rsidRDefault="007F049D" w:rsidP="007F049D">
            <w:pPr>
              <w:rPr>
                <w:rFonts w:eastAsia="Arial" w:cs="Arial"/>
                <w:szCs w:val="22"/>
              </w:rPr>
            </w:pPr>
            <w:r w:rsidRPr="007F049D">
              <w:rPr>
                <w:rFonts w:eastAsia="Arial" w:cs="Arial"/>
                <w:szCs w:val="22"/>
              </w:rPr>
              <w:t>170 capsules / 90 days</w:t>
            </w:r>
          </w:p>
        </w:tc>
      </w:tr>
      <w:tr w:rsidR="007F049D" w:rsidRPr="007F049D" w14:paraId="3A1E75FC" w14:textId="77777777" w:rsidTr="00C13E2F">
        <w:trPr>
          <w:cantSplit/>
          <w:trHeight w:val="396"/>
        </w:trPr>
        <w:tc>
          <w:tcPr>
            <w:tcW w:w="2705" w:type="dxa"/>
            <w:vAlign w:val="center"/>
          </w:tcPr>
          <w:p w14:paraId="65FEE3FD" w14:textId="77777777" w:rsidR="007F049D" w:rsidRPr="007F049D" w:rsidRDefault="007F049D" w:rsidP="007F049D">
            <w:pPr>
              <w:rPr>
                <w:rFonts w:eastAsia="Arial" w:cs="Arial"/>
                <w:szCs w:val="22"/>
              </w:rPr>
            </w:pPr>
            <w:r w:rsidRPr="007F049D">
              <w:rPr>
                <w:rFonts w:eastAsia="Arial" w:cs="Arial"/>
                <w:szCs w:val="22"/>
              </w:rPr>
              <w:t>Tamiflu</w:t>
            </w:r>
          </w:p>
          <w:p w14:paraId="7E7D49E2"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tcPr>
          <w:p w14:paraId="27884F4D" w14:textId="77777777" w:rsidR="007F049D" w:rsidRPr="007F049D" w:rsidRDefault="007F049D" w:rsidP="007F049D">
            <w:pPr>
              <w:rPr>
                <w:rFonts w:eastAsia="Arial" w:cs="Arial"/>
                <w:szCs w:val="22"/>
              </w:rPr>
            </w:pPr>
            <w:r w:rsidRPr="007F049D">
              <w:rPr>
                <w:rFonts w:eastAsia="Arial" w:cs="Arial"/>
                <w:szCs w:val="22"/>
              </w:rPr>
              <w:t>Community Outbreak Prophylaxis – Immunocompromised patient</w:t>
            </w:r>
          </w:p>
        </w:tc>
        <w:tc>
          <w:tcPr>
            <w:tcW w:w="2706" w:type="dxa"/>
          </w:tcPr>
          <w:p w14:paraId="3356FB8A" w14:textId="77777777" w:rsidR="007F049D" w:rsidRPr="007F049D" w:rsidRDefault="007F049D" w:rsidP="007F049D">
            <w:pPr>
              <w:rPr>
                <w:rFonts w:eastAsia="Arial" w:cs="Arial"/>
                <w:szCs w:val="22"/>
              </w:rPr>
            </w:pPr>
            <w:r w:rsidRPr="007F049D">
              <w:rPr>
                <w:rFonts w:eastAsia="Arial" w:cs="Arial"/>
                <w:szCs w:val="22"/>
              </w:rPr>
              <w:t>45 mg per capsule</w:t>
            </w:r>
          </w:p>
        </w:tc>
        <w:tc>
          <w:tcPr>
            <w:tcW w:w="2706" w:type="dxa"/>
          </w:tcPr>
          <w:p w14:paraId="2AFCAA50" w14:textId="77777777" w:rsidR="007F049D" w:rsidRPr="007F049D" w:rsidRDefault="007F049D" w:rsidP="007F049D">
            <w:pPr>
              <w:rPr>
                <w:rFonts w:eastAsia="Arial" w:cs="Arial"/>
                <w:szCs w:val="22"/>
              </w:rPr>
            </w:pPr>
            <w:r w:rsidRPr="007F049D">
              <w:rPr>
                <w:rFonts w:eastAsia="Arial" w:cs="Arial"/>
                <w:szCs w:val="22"/>
              </w:rPr>
              <w:t>90 capsules / 90 days</w:t>
            </w:r>
          </w:p>
        </w:tc>
      </w:tr>
      <w:tr w:rsidR="007F049D" w:rsidRPr="007F049D" w14:paraId="2D48DED4" w14:textId="77777777" w:rsidTr="00C13E2F">
        <w:trPr>
          <w:cantSplit/>
          <w:trHeight w:val="351"/>
        </w:trPr>
        <w:tc>
          <w:tcPr>
            <w:tcW w:w="2705" w:type="dxa"/>
            <w:vAlign w:val="center"/>
          </w:tcPr>
          <w:p w14:paraId="3DA123DB" w14:textId="77777777" w:rsidR="007F049D" w:rsidRPr="007F049D" w:rsidRDefault="007F049D" w:rsidP="007F049D">
            <w:pPr>
              <w:rPr>
                <w:rFonts w:eastAsia="Arial" w:cs="Arial"/>
                <w:szCs w:val="22"/>
              </w:rPr>
            </w:pPr>
            <w:r w:rsidRPr="007F049D">
              <w:rPr>
                <w:rFonts w:eastAsia="Arial" w:cs="Arial"/>
                <w:szCs w:val="22"/>
              </w:rPr>
              <w:t>Tamiflu</w:t>
            </w:r>
          </w:p>
          <w:p w14:paraId="69E96432" w14:textId="77777777" w:rsidR="007F049D" w:rsidRPr="007F049D" w:rsidRDefault="007F049D" w:rsidP="007F049D">
            <w:pPr>
              <w:rPr>
                <w:rFonts w:eastAsia="Arial" w:cs="Arial"/>
                <w:szCs w:val="22"/>
              </w:rPr>
            </w:pPr>
            <w:r w:rsidRPr="007F049D">
              <w:rPr>
                <w:rFonts w:eastAsia="Arial" w:cs="Arial"/>
                <w:szCs w:val="22"/>
              </w:rPr>
              <w:t>(oseltamivir)</w:t>
            </w:r>
          </w:p>
        </w:tc>
        <w:tc>
          <w:tcPr>
            <w:tcW w:w="2706" w:type="dxa"/>
          </w:tcPr>
          <w:p w14:paraId="39B5B1A0" w14:textId="77777777" w:rsidR="007F049D" w:rsidRPr="007F049D" w:rsidRDefault="007F049D" w:rsidP="007F049D">
            <w:pPr>
              <w:rPr>
                <w:rFonts w:eastAsia="Arial" w:cs="Arial"/>
                <w:szCs w:val="22"/>
              </w:rPr>
            </w:pPr>
            <w:r w:rsidRPr="007F049D">
              <w:rPr>
                <w:rFonts w:eastAsia="Arial" w:cs="Arial"/>
                <w:szCs w:val="22"/>
              </w:rPr>
              <w:t>Community Outbreak Prophylaxis – Immunocompromised patient</w:t>
            </w:r>
          </w:p>
        </w:tc>
        <w:tc>
          <w:tcPr>
            <w:tcW w:w="2706" w:type="dxa"/>
          </w:tcPr>
          <w:p w14:paraId="0A6C0A57" w14:textId="77777777" w:rsidR="007F049D" w:rsidRPr="007F049D" w:rsidRDefault="007F049D" w:rsidP="007F049D">
            <w:pPr>
              <w:rPr>
                <w:rFonts w:eastAsia="Arial" w:cs="Arial"/>
                <w:szCs w:val="22"/>
              </w:rPr>
            </w:pPr>
            <w:r w:rsidRPr="007F049D">
              <w:rPr>
                <w:rFonts w:eastAsia="Arial" w:cs="Arial"/>
                <w:szCs w:val="22"/>
              </w:rPr>
              <w:t>75 mg per capsule</w:t>
            </w:r>
          </w:p>
        </w:tc>
        <w:tc>
          <w:tcPr>
            <w:tcW w:w="2706" w:type="dxa"/>
          </w:tcPr>
          <w:p w14:paraId="6DD55C75" w14:textId="77777777" w:rsidR="007F049D" w:rsidRPr="007F049D" w:rsidRDefault="007F049D" w:rsidP="007F049D">
            <w:pPr>
              <w:rPr>
                <w:rFonts w:eastAsia="Arial" w:cs="Arial"/>
                <w:szCs w:val="22"/>
              </w:rPr>
            </w:pPr>
            <w:r w:rsidRPr="007F049D">
              <w:rPr>
                <w:rFonts w:eastAsia="Arial" w:cs="Arial"/>
                <w:szCs w:val="22"/>
              </w:rPr>
              <w:t>90 capsules / 90 days</w:t>
            </w:r>
          </w:p>
        </w:tc>
      </w:tr>
      <w:tr w:rsidR="007F049D" w:rsidRPr="007F049D" w14:paraId="3E341949" w14:textId="77777777" w:rsidTr="00C13E2F">
        <w:trPr>
          <w:cantSplit/>
          <w:trHeight w:val="324"/>
        </w:trPr>
        <w:tc>
          <w:tcPr>
            <w:tcW w:w="2705" w:type="dxa"/>
            <w:vAlign w:val="center"/>
          </w:tcPr>
          <w:p w14:paraId="49239DDD" w14:textId="77777777" w:rsidR="007F049D" w:rsidRPr="007F049D" w:rsidRDefault="007F049D" w:rsidP="007F049D">
            <w:pPr>
              <w:rPr>
                <w:rFonts w:eastAsia="Arial" w:cs="Arial"/>
                <w:szCs w:val="22"/>
              </w:rPr>
            </w:pPr>
            <w:proofErr w:type="spellStart"/>
            <w:r w:rsidRPr="007F049D">
              <w:rPr>
                <w:rFonts w:eastAsia="Arial" w:cs="Arial"/>
                <w:szCs w:val="22"/>
              </w:rPr>
              <w:t>Xofluza</w:t>
            </w:r>
            <w:proofErr w:type="spellEnd"/>
          </w:p>
          <w:p w14:paraId="766BF236" w14:textId="77777777" w:rsidR="007F049D" w:rsidRPr="007F049D" w:rsidRDefault="007F049D" w:rsidP="007F049D">
            <w:pPr>
              <w:rPr>
                <w:rFonts w:eastAsia="Arial" w:cs="Arial"/>
                <w:szCs w:val="22"/>
              </w:rPr>
            </w:pPr>
            <w:r w:rsidRPr="007F049D">
              <w:rPr>
                <w:rFonts w:eastAsia="Arial" w:cs="Arial"/>
                <w:szCs w:val="22"/>
              </w:rPr>
              <w:t>(baloxavir marboxil)</w:t>
            </w:r>
          </w:p>
        </w:tc>
        <w:tc>
          <w:tcPr>
            <w:tcW w:w="2706" w:type="dxa"/>
          </w:tcPr>
          <w:p w14:paraId="2637F409" w14:textId="77777777" w:rsidR="007F049D" w:rsidRPr="007F049D" w:rsidRDefault="007F049D" w:rsidP="007F049D">
            <w:pPr>
              <w:rPr>
                <w:rFonts w:eastAsia="Arial" w:cs="Arial"/>
                <w:szCs w:val="22"/>
              </w:rPr>
            </w:pPr>
            <w:r w:rsidRPr="007F049D">
              <w:rPr>
                <w:rFonts w:eastAsia="Arial" w:cs="Arial"/>
                <w:szCs w:val="22"/>
              </w:rPr>
              <w:t>Treatment or Post-exposure Prophylaxis</w:t>
            </w:r>
          </w:p>
        </w:tc>
        <w:tc>
          <w:tcPr>
            <w:tcW w:w="2706" w:type="dxa"/>
          </w:tcPr>
          <w:p w14:paraId="4B99BED5" w14:textId="77777777" w:rsidR="007F049D" w:rsidRPr="007F049D" w:rsidRDefault="007F049D" w:rsidP="007F049D">
            <w:pPr>
              <w:rPr>
                <w:rFonts w:eastAsia="Arial" w:cs="Arial"/>
                <w:szCs w:val="22"/>
              </w:rPr>
            </w:pPr>
            <w:r w:rsidRPr="007F049D">
              <w:rPr>
                <w:rFonts w:eastAsia="Arial" w:cs="Arial"/>
                <w:szCs w:val="22"/>
              </w:rPr>
              <w:t>40 mg per tablet (1 tablet per blister card)</w:t>
            </w:r>
          </w:p>
        </w:tc>
        <w:tc>
          <w:tcPr>
            <w:tcW w:w="2706" w:type="dxa"/>
          </w:tcPr>
          <w:p w14:paraId="643AC8BE" w14:textId="77777777" w:rsidR="007F049D" w:rsidRPr="007F049D" w:rsidRDefault="007F049D" w:rsidP="007F049D">
            <w:pPr>
              <w:rPr>
                <w:rFonts w:eastAsia="Arial" w:cs="Arial"/>
                <w:szCs w:val="22"/>
              </w:rPr>
            </w:pPr>
            <w:r w:rsidRPr="007F049D">
              <w:rPr>
                <w:rFonts w:eastAsia="Arial" w:cs="Arial"/>
                <w:szCs w:val="22"/>
              </w:rPr>
              <w:t>1 tablets / 90 days</w:t>
            </w:r>
          </w:p>
        </w:tc>
      </w:tr>
      <w:tr w:rsidR="007F049D" w:rsidRPr="007F049D" w14:paraId="1DD77A01" w14:textId="77777777" w:rsidTr="00C13E2F">
        <w:trPr>
          <w:cantSplit/>
          <w:trHeight w:val="324"/>
        </w:trPr>
        <w:tc>
          <w:tcPr>
            <w:tcW w:w="2705" w:type="dxa"/>
            <w:vAlign w:val="center"/>
          </w:tcPr>
          <w:p w14:paraId="66E75AF6" w14:textId="77777777" w:rsidR="007F049D" w:rsidRPr="007F049D" w:rsidRDefault="007F049D" w:rsidP="007F049D">
            <w:pPr>
              <w:rPr>
                <w:rFonts w:eastAsia="Arial" w:cs="Arial"/>
                <w:szCs w:val="22"/>
              </w:rPr>
            </w:pPr>
            <w:proofErr w:type="spellStart"/>
            <w:r w:rsidRPr="007F049D">
              <w:rPr>
                <w:rFonts w:eastAsia="Arial" w:cs="Arial"/>
                <w:szCs w:val="22"/>
              </w:rPr>
              <w:lastRenderedPageBreak/>
              <w:t>Xofluza</w:t>
            </w:r>
            <w:proofErr w:type="spellEnd"/>
          </w:p>
          <w:p w14:paraId="54996D7A" w14:textId="77777777" w:rsidR="007F049D" w:rsidRPr="007F049D" w:rsidRDefault="007F049D" w:rsidP="007F049D">
            <w:pPr>
              <w:rPr>
                <w:rFonts w:eastAsia="Arial" w:cs="Arial"/>
                <w:szCs w:val="22"/>
              </w:rPr>
            </w:pPr>
            <w:r w:rsidRPr="007F049D">
              <w:rPr>
                <w:rFonts w:eastAsia="Arial" w:cs="Arial"/>
                <w:szCs w:val="22"/>
              </w:rPr>
              <w:t>(baloxavir marboxil)</w:t>
            </w:r>
          </w:p>
        </w:tc>
        <w:tc>
          <w:tcPr>
            <w:tcW w:w="2706" w:type="dxa"/>
          </w:tcPr>
          <w:p w14:paraId="1D09C08E" w14:textId="77777777" w:rsidR="007F049D" w:rsidRPr="007F049D" w:rsidRDefault="007F049D" w:rsidP="007F049D">
            <w:pPr>
              <w:rPr>
                <w:rFonts w:eastAsia="Arial" w:cs="Arial"/>
                <w:szCs w:val="22"/>
              </w:rPr>
            </w:pPr>
            <w:r w:rsidRPr="007F049D">
              <w:rPr>
                <w:rFonts w:eastAsia="Arial" w:cs="Arial"/>
                <w:szCs w:val="22"/>
              </w:rPr>
              <w:t>Treatment or Post-exposure Prophylaxis</w:t>
            </w:r>
          </w:p>
        </w:tc>
        <w:tc>
          <w:tcPr>
            <w:tcW w:w="2706" w:type="dxa"/>
          </w:tcPr>
          <w:p w14:paraId="1A2CDC42" w14:textId="77777777" w:rsidR="007F049D" w:rsidRPr="007F049D" w:rsidRDefault="007F049D" w:rsidP="007F049D">
            <w:pPr>
              <w:rPr>
                <w:rFonts w:eastAsia="Arial" w:cs="Arial"/>
                <w:szCs w:val="22"/>
              </w:rPr>
            </w:pPr>
            <w:r w:rsidRPr="007F049D">
              <w:rPr>
                <w:rFonts w:eastAsia="Arial" w:cs="Arial"/>
                <w:szCs w:val="22"/>
              </w:rPr>
              <w:t>80 mg per tablet (1 tablet per blister card)</w:t>
            </w:r>
          </w:p>
        </w:tc>
        <w:tc>
          <w:tcPr>
            <w:tcW w:w="2706" w:type="dxa"/>
          </w:tcPr>
          <w:p w14:paraId="460A8D31" w14:textId="77777777" w:rsidR="007F049D" w:rsidRPr="007F049D" w:rsidRDefault="007F049D" w:rsidP="007F049D">
            <w:pPr>
              <w:rPr>
                <w:rFonts w:eastAsia="Arial" w:cs="Arial"/>
                <w:szCs w:val="22"/>
              </w:rPr>
            </w:pPr>
            <w:r w:rsidRPr="007F049D">
              <w:rPr>
                <w:rFonts w:eastAsia="Arial" w:cs="Arial"/>
                <w:szCs w:val="22"/>
              </w:rPr>
              <w:t>1 tablets / 90 days</w:t>
            </w:r>
          </w:p>
        </w:tc>
      </w:tr>
      <w:tr w:rsidR="007F049D" w:rsidRPr="007F049D" w14:paraId="49F1F225" w14:textId="77777777" w:rsidTr="00C13E2F">
        <w:trPr>
          <w:cantSplit/>
          <w:trHeight w:val="324"/>
        </w:trPr>
        <w:tc>
          <w:tcPr>
            <w:tcW w:w="2705" w:type="dxa"/>
            <w:vAlign w:val="center"/>
          </w:tcPr>
          <w:p w14:paraId="6E702CBC" w14:textId="77777777" w:rsidR="007F049D" w:rsidRPr="007F049D" w:rsidRDefault="007F049D" w:rsidP="007F049D">
            <w:pPr>
              <w:rPr>
                <w:rFonts w:eastAsia="Arial" w:cs="Arial"/>
                <w:szCs w:val="22"/>
              </w:rPr>
            </w:pPr>
            <w:r w:rsidRPr="007F049D">
              <w:rPr>
                <w:rFonts w:eastAsia="Arial" w:cs="Arial"/>
                <w:szCs w:val="22"/>
              </w:rPr>
              <w:t>Xofluza</w:t>
            </w:r>
          </w:p>
          <w:p w14:paraId="60712739" w14:textId="77777777" w:rsidR="007F049D" w:rsidRPr="007F049D" w:rsidRDefault="007F049D" w:rsidP="007F049D">
            <w:pPr>
              <w:rPr>
                <w:rFonts w:eastAsia="Arial" w:cs="Arial"/>
                <w:szCs w:val="22"/>
              </w:rPr>
            </w:pPr>
            <w:r w:rsidRPr="007F049D">
              <w:rPr>
                <w:rFonts w:eastAsia="Arial" w:cs="Arial"/>
                <w:szCs w:val="22"/>
              </w:rPr>
              <w:t>(baloxavir marboxil)</w:t>
            </w:r>
          </w:p>
        </w:tc>
        <w:tc>
          <w:tcPr>
            <w:tcW w:w="2706" w:type="dxa"/>
          </w:tcPr>
          <w:p w14:paraId="6FFAAA85" w14:textId="77777777" w:rsidR="007F049D" w:rsidRPr="007F049D" w:rsidRDefault="007F049D" w:rsidP="007F049D">
            <w:pPr>
              <w:rPr>
                <w:rFonts w:eastAsia="Arial" w:cs="Arial"/>
                <w:szCs w:val="22"/>
              </w:rPr>
            </w:pPr>
            <w:r w:rsidRPr="007F049D">
              <w:rPr>
                <w:rFonts w:eastAsia="Arial" w:cs="Arial"/>
                <w:szCs w:val="22"/>
              </w:rPr>
              <w:t>Treatment or Post-exposure Prophylaxis</w:t>
            </w:r>
          </w:p>
        </w:tc>
        <w:tc>
          <w:tcPr>
            <w:tcW w:w="2706" w:type="dxa"/>
          </w:tcPr>
          <w:p w14:paraId="7E6C90F8" w14:textId="77777777" w:rsidR="007F049D" w:rsidRPr="007F049D" w:rsidRDefault="007F049D" w:rsidP="007F049D">
            <w:pPr>
              <w:rPr>
                <w:rFonts w:eastAsia="Arial" w:cs="Arial"/>
                <w:szCs w:val="22"/>
              </w:rPr>
            </w:pPr>
            <w:r w:rsidRPr="007F049D">
              <w:rPr>
                <w:rFonts w:eastAsia="Arial" w:cs="Arial"/>
                <w:szCs w:val="22"/>
              </w:rPr>
              <w:t>40 mg/20mL (2 mg/mL) suspension</w:t>
            </w:r>
          </w:p>
        </w:tc>
        <w:tc>
          <w:tcPr>
            <w:tcW w:w="2706" w:type="dxa"/>
          </w:tcPr>
          <w:p w14:paraId="26028696" w14:textId="77777777" w:rsidR="007F049D" w:rsidRPr="007F049D" w:rsidRDefault="007F049D" w:rsidP="007F049D">
            <w:pPr>
              <w:rPr>
                <w:rFonts w:eastAsia="Arial" w:cs="Arial"/>
                <w:szCs w:val="22"/>
              </w:rPr>
            </w:pPr>
            <w:r w:rsidRPr="007F049D">
              <w:rPr>
                <w:rFonts w:eastAsia="Arial" w:cs="Arial"/>
                <w:szCs w:val="22"/>
              </w:rPr>
              <w:t>40 mL / 90 days</w:t>
            </w:r>
          </w:p>
        </w:tc>
      </w:tr>
      <w:tr w:rsidR="001F43D9" w:rsidRPr="007F049D" w14:paraId="509E8474" w14:textId="77777777" w:rsidTr="00C13E2F">
        <w:trPr>
          <w:cantSplit/>
          <w:trHeight w:val="324"/>
        </w:trPr>
        <w:tc>
          <w:tcPr>
            <w:tcW w:w="2705" w:type="dxa"/>
            <w:vAlign w:val="center"/>
          </w:tcPr>
          <w:p w14:paraId="131707E0" w14:textId="77777777" w:rsidR="001F43D9" w:rsidRPr="007F049D" w:rsidRDefault="001F43D9" w:rsidP="001F43D9">
            <w:pPr>
              <w:rPr>
                <w:rFonts w:eastAsia="Arial" w:cs="Arial"/>
                <w:szCs w:val="22"/>
              </w:rPr>
            </w:pPr>
            <w:r w:rsidRPr="007F049D">
              <w:rPr>
                <w:rFonts w:eastAsia="Arial" w:cs="Arial"/>
                <w:szCs w:val="22"/>
              </w:rPr>
              <w:t>Xofluza</w:t>
            </w:r>
          </w:p>
          <w:p w14:paraId="58CC8E91" w14:textId="7595DE3C" w:rsidR="001F43D9" w:rsidRPr="007F049D" w:rsidRDefault="001F43D9" w:rsidP="001F43D9">
            <w:pPr>
              <w:rPr>
                <w:rFonts w:eastAsia="Arial" w:cs="Arial"/>
                <w:szCs w:val="22"/>
              </w:rPr>
            </w:pPr>
            <w:r w:rsidRPr="007F049D">
              <w:rPr>
                <w:rFonts w:eastAsia="Arial" w:cs="Arial"/>
                <w:szCs w:val="22"/>
              </w:rPr>
              <w:t>(baloxavir marboxil)</w:t>
            </w:r>
          </w:p>
        </w:tc>
        <w:tc>
          <w:tcPr>
            <w:tcW w:w="2706" w:type="dxa"/>
          </w:tcPr>
          <w:p w14:paraId="3A863202" w14:textId="117B970A" w:rsidR="001F43D9" w:rsidRPr="007F049D" w:rsidRDefault="001F43D9" w:rsidP="001F43D9">
            <w:pPr>
              <w:rPr>
                <w:rFonts w:eastAsia="Arial" w:cs="Arial"/>
                <w:szCs w:val="22"/>
              </w:rPr>
            </w:pPr>
            <w:r w:rsidRPr="007F049D">
              <w:rPr>
                <w:rFonts w:eastAsia="Arial" w:cs="Arial"/>
                <w:szCs w:val="22"/>
              </w:rPr>
              <w:t>Treatment or Post-exposure Prophylaxis</w:t>
            </w:r>
          </w:p>
        </w:tc>
        <w:tc>
          <w:tcPr>
            <w:tcW w:w="2706" w:type="dxa"/>
          </w:tcPr>
          <w:p w14:paraId="49394EB1" w14:textId="00BED7CD" w:rsidR="001F43D9" w:rsidRPr="007F049D" w:rsidRDefault="001F43D9" w:rsidP="001F43D9">
            <w:pPr>
              <w:rPr>
                <w:rFonts w:eastAsia="Arial" w:cs="Arial"/>
                <w:szCs w:val="22"/>
              </w:rPr>
            </w:pPr>
            <w:r>
              <w:rPr>
                <w:rFonts w:eastAsia="Arial" w:cs="Arial"/>
                <w:szCs w:val="22"/>
              </w:rPr>
              <w:t>30 mg per packet</w:t>
            </w:r>
          </w:p>
        </w:tc>
        <w:tc>
          <w:tcPr>
            <w:tcW w:w="2706" w:type="dxa"/>
          </w:tcPr>
          <w:p w14:paraId="368CBF95" w14:textId="2DC69985" w:rsidR="001F43D9" w:rsidRPr="007F049D" w:rsidRDefault="001F43D9" w:rsidP="001F43D9">
            <w:pPr>
              <w:rPr>
                <w:rFonts w:eastAsia="Arial" w:cs="Arial"/>
                <w:szCs w:val="22"/>
              </w:rPr>
            </w:pPr>
            <w:r>
              <w:rPr>
                <w:rFonts w:eastAsia="Arial" w:cs="Arial"/>
                <w:szCs w:val="22"/>
              </w:rPr>
              <w:t>1 packet / 90 days</w:t>
            </w:r>
          </w:p>
        </w:tc>
      </w:tr>
      <w:tr w:rsidR="001F43D9" w:rsidRPr="007F049D" w14:paraId="15057902" w14:textId="77777777" w:rsidTr="00C13E2F">
        <w:trPr>
          <w:cantSplit/>
          <w:trHeight w:val="324"/>
        </w:trPr>
        <w:tc>
          <w:tcPr>
            <w:tcW w:w="2705" w:type="dxa"/>
            <w:vAlign w:val="center"/>
          </w:tcPr>
          <w:p w14:paraId="4D5E1C32" w14:textId="77777777" w:rsidR="001F43D9" w:rsidRPr="007F049D" w:rsidRDefault="001F43D9" w:rsidP="001F43D9">
            <w:pPr>
              <w:rPr>
                <w:rFonts w:eastAsia="Arial" w:cs="Arial"/>
                <w:szCs w:val="22"/>
              </w:rPr>
            </w:pPr>
            <w:r w:rsidRPr="007F049D">
              <w:rPr>
                <w:rFonts w:eastAsia="Arial" w:cs="Arial"/>
                <w:szCs w:val="22"/>
              </w:rPr>
              <w:t>Xofluza</w:t>
            </w:r>
          </w:p>
          <w:p w14:paraId="6C4C415C" w14:textId="2E6C8188" w:rsidR="001F43D9" w:rsidRPr="007F049D" w:rsidRDefault="001F43D9" w:rsidP="001F43D9">
            <w:pPr>
              <w:rPr>
                <w:rFonts w:eastAsia="Arial" w:cs="Arial"/>
                <w:szCs w:val="22"/>
              </w:rPr>
            </w:pPr>
            <w:r w:rsidRPr="007F049D">
              <w:rPr>
                <w:rFonts w:eastAsia="Arial" w:cs="Arial"/>
                <w:szCs w:val="22"/>
              </w:rPr>
              <w:t>(baloxavir marboxil)</w:t>
            </w:r>
          </w:p>
        </w:tc>
        <w:tc>
          <w:tcPr>
            <w:tcW w:w="2706" w:type="dxa"/>
          </w:tcPr>
          <w:p w14:paraId="447463DA" w14:textId="13B2104E" w:rsidR="001F43D9" w:rsidRPr="007F049D" w:rsidRDefault="001F43D9" w:rsidP="001F43D9">
            <w:pPr>
              <w:rPr>
                <w:rFonts w:eastAsia="Arial" w:cs="Arial"/>
                <w:szCs w:val="22"/>
              </w:rPr>
            </w:pPr>
            <w:r w:rsidRPr="007F049D">
              <w:rPr>
                <w:rFonts w:eastAsia="Arial" w:cs="Arial"/>
                <w:szCs w:val="22"/>
              </w:rPr>
              <w:t>Treatment or Post-exposure Prophylaxis</w:t>
            </w:r>
          </w:p>
        </w:tc>
        <w:tc>
          <w:tcPr>
            <w:tcW w:w="2706" w:type="dxa"/>
          </w:tcPr>
          <w:p w14:paraId="40277EBB" w14:textId="7C584535" w:rsidR="001F43D9" w:rsidRPr="007F049D" w:rsidRDefault="001F43D9" w:rsidP="001F43D9">
            <w:pPr>
              <w:rPr>
                <w:rFonts w:eastAsia="Arial" w:cs="Arial"/>
                <w:szCs w:val="22"/>
              </w:rPr>
            </w:pPr>
            <w:r>
              <w:rPr>
                <w:rFonts w:eastAsia="Arial" w:cs="Arial"/>
                <w:szCs w:val="22"/>
              </w:rPr>
              <w:t>40 mg per packet</w:t>
            </w:r>
          </w:p>
        </w:tc>
        <w:tc>
          <w:tcPr>
            <w:tcW w:w="2706" w:type="dxa"/>
          </w:tcPr>
          <w:p w14:paraId="4635B249" w14:textId="2F90C77F" w:rsidR="001F43D9" w:rsidRPr="007F049D" w:rsidRDefault="001F43D9" w:rsidP="001F43D9">
            <w:pPr>
              <w:rPr>
                <w:rFonts w:eastAsia="Arial" w:cs="Arial"/>
                <w:szCs w:val="22"/>
              </w:rPr>
            </w:pPr>
            <w:r>
              <w:rPr>
                <w:rFonts w:eastAsia="Arial" w:cs="Arial"/>
                <w:szCs w:val="22"/>
              </w:rPr>
              <w:t>2 packets / 90 days</w:t>
            </w:r>
          </w:p>
        </w:tc>
      </w:tr>
    </w:tbl>
    <w:p w14:paraId="61E3647C" w14:textId="77777777" w:rsidR="007F049D" w:rsidRPr="007F049D" w:rsidRDefault="007F049D" w:rsidP="00592D95">
      <w:pPr>
        <w:pStyle w:val="Heading2"/>
      </w:pPr>
      <w:r w:rsidRPr="007F049D">
        <w:t>Duration of Approval (DOA)</w:t>
      </w:r>
    </w:p>
    <w:p w14:paraId="6B92CA3A" w14:textId="77777777" w:rsidR="007F049D" w:rsidRPr="007F049D" w:rsidRDefault="007F049D" w:rsidP="00592D95">
      <w:pPr>
        <w:pStyle w:val="ListParagraph"/>
      </w:pPr>
      <w:r w:rsidRPr="007F049D">
        <w:t>111-J: DOA: 3 months</w:t>
      </w:r>
      <w:bookmarkStart w:id="0" w:name="S2.2"/>
      <w:bookmarkStart w:id="1" w:name="section-2.2"/>
      <w:bookmarkStart w:id="2" w:name="section-2.2.1"/>
      <w:bookmarkStart w:id="3" w:name="section-2.2.2"/>
      <w:bookmarkEnd w:id="0"/>
      <w:bookmarkEnd w:id="1"/>
      <w:bookmarkEnd w:id="2"/>
      <w:bookmarkEnd w:id="3"/>
    </w:p>
    <w:p w14:paraId="79650376" w14:textId="02F3D726" w:rsidR="007F049D" w:rsidRPr="007F049D" w:rsidRDefault="007F049D" w:rsidP="00592D95">
      <w:pPr>
        <w:pStyle w:val="Heading2"/>
      </w:pPr>
      <w:r w:rsidRPr="007F049D">
        <w:t>References</w:t>
      </w:r>
    </w:p>
    <w:p w14:paraId="3342B164" w14:textId="77777777" w:rsidR="007F049D" w:rsidRPr="007F049D" w:rsidRDefault="007F049D" w:rsidP="007F049D">
      <w:pPr>
        <w:numPr>
          <w:ilvl w:val="0"/>
          <w:numId w:val="2"/>
        </w:numPr>
        <w:ind w:left="360"/>
        <w:rPr>
          <w:rFonts w:cs="Arial"/>
          <w:szCs w:val="22"/>
        </w:rPr>
      </w:pPr>
      <w:r w:rsidRPr="007F049D">
        <w:rPr>
          <w:rFonts w:cs="Arial"/>
          <w:szCs w:val="22"/>
        </w:rPr>
        <w:t>Relenza [package insert]. Durham, NC: GlaxoSmithKline; October 2023.</w:t>
      </w:r>
    </w:p>
    <w:p w14:paraId="209C15FB" w14:textId="77777777" w:rsidR="007F049D" w:rsidRPr="007F049D" w:rsidRDefault="007F049D" w:rsidP="007F049D">
      <w:pPr>
        <w:numPr>
          <w:ilvl w:val="0"/>
          <w:numId w:val="2"/>
        </w:numPr>
        <w:ind w:left="360"/>
        <w:rPr>
          <w:rFonts w:cs="Arial"/>
          <w:szCs w:val="22"/>
        </w:rPr>
      </w:pPr>
      <w:r w:rsidRPr="007F049D">
        <w:rPr>
          <w:rFonts w:cs="Arial"/>
          <w:szCs w:val="22"/>
        </w:rPr>
        <w:t>Tamiflu [package insert]. South San Francisco, CA: Genentech, Inc.; August 2019.</w:t>
      </w:r>
    </w:p>
    <w:p w14:paraId="1F04110E" w14:textId="303761EA" w:rsidR="007F049D" w:rsidRPr="007F049D" w:rsidRDefault="007F049D" w:rsidP="007F049D">
      <w:pPr>
        <w:numPr>
          <w:ilvl w:val="0"/>
          <w:numId w:val="2"/>
        </w:numPr>
        <w:ind w:left="360"/>
        <w:rPr>
          <w:rFonts w:cs="Arial"/>
          <w:szCs w:val="22"/>
        </w:rPr>
      </w:pPr>
      <w:r w:rsidRPr="007F049D">
        <w:rPr>
          <w:rFonts w:cs="Arial"/>
          <w:szCs w:val="22"/>
        </w:rPr>
        <w:t xml:space="preserve">Xofluza [package insert]. South San Francisco, CA: Genentech USA, Inc. </w:t>
      </w:r>
      <w:r w:rsidR="00F4643C">
        <w:rPr>
          <w:rFonts w:cs="Arial"/>
          <w:szCs w:val="22"/>
        </w:rPr>
        <w:t>May</w:t>
      </w:r>
      <w:r w:rsidRPr="007F049D">
        <w:rPr>
          <w:rFonts w:cs="Arial"/>
          <w:szCs w:val="22"/>
        </w:rPr>
        <w:t xml:space="preserve"> 202</w:t>
      </w:r>
      <w:r w:rsidR="00F4643C">
        <w:rPr>
          <w:rFonts w:cs="Arial"/>
          <w:szCs w:val="22"/>
        </w:rPr>
        <w:t>5</w:t>
      </w:r>
      <w:r w:rsidRPr="007F049D">
        <w:rPr>
          <w:rFonts w:cs="Arial"/>
          <w:szCs w:val="22"/>
        </w:rPr>
        <w:t>.</w:t>
      </w:r>
    </w:p>
    <w:p w14:paraId="7A0F1BE0" w14:textId="3DE2EC3A" w:rsidR="007F049D" w:rsidRPr="007F049D" w:rsidRDefault="007F049D" w:rsidP="007F049D">
      <w:pPr>
        <w:numPr>
          <w:ilvl w:val="0"/>
          <w:numId w:val="2"/>
        </w:numPr>
        <w:ind w:left="360"/>
        <w:rPr>
          <w:rFonts w:cs="Arial"/>
          <w:color w:val="000000"/>
          <w:szCs w:val="22"/>
        </w:rPr>
      </w:pPr>
      <w:bookmarkStart w:id="4" w:name="_Hlk61268747"/>
      <w:r w:rsidRPr="007F049D">
        <w:rPr>
          <w:rFonts w:cs="Arial"/>
          <w:szCs w:val="22"/>
        </w:rPr>
        <w:t>Lexicomp Online, AHFS DI (Adult and Pediatric) Online, Waltham, MA: UpToDate, Inc.; 202</w:t>
      </w:r>
      <w:r w:rsidR="00F4643C">
        <w:rPr>
          <w:rFonts w:cs="Arial"/>
          <w:szCs w:val="22"/>
        </w:rPr>
        <w:t>5</w:t>
      </w:r>
      <w:r w:rsidRPr="007F049D">
        <w:rPr>
          <w:rFonts w:cs="Arial"/>
          <w:szCs w:val="22"/>
        </w:rPr>
        <w:t xml:space="preserve">. </w:t>
      </w:r>
      <w:bookmarkStart w:id="5" w:name="OLE_LINK21"/>
      <w:r w:rsidRPr="007F049D">
        <w:rPr>
          <w:rFonts w:cs="Arial"/>
          <w:szCs w:val="22"/>
        </w:rPr>
        <w:t>https://online.lexi.com.</w:t>
      </w:r>
      <w:bookmarkEnd w:id="5"/>
      <w:r w:rsidRPr="007F049D">
        <w:rPr>
          <w:rFonts w:cs="Arial"/>
          <w:szCs w:val="22"/>
        </w:rPr>
        <w:t xml:space="preserve"> Accessed </w:t>
      </w:r>
      <w:r w:rsidR="00F4643C">
        <w:rPr>
          <w:rFonts w:cs="Arial"/>
          <w:szCs w:val="22"/>
        </w:rPr>
        <w:t>June5</w:t>
      </w:r>
      <w:r w:rsidRPr="007F049D">
        <w:rPr>
          <w:rFonts w:cs="Arial"/>
          <w:szCs w:val="22"/>
        </w:rPr>
        <w:t>, 202</w:t>
      </w:r>
      <w:r w:rsidR="00F4643C">
        <w:rPr>
          <w:rFonts w:cs="Arial"/>
          <w:szCs w:val="22"/>
        </w:rPr>
        <w:t>5</w:t>
      </w:r>
      <w:r w:rsidRPr="007F049D">
        <w:rPr>
          <w:rFonts w:cs="Arial"/>
          <w:szCs w:val="22"/>
        </w:rPr>
        <w:t>.</w:t>
      </w:r>
    </w:p>
    <w:p w14:paraId="30AD5FC1" w14:textId="2E3D92A0" w:rsidR="007F049D" w:rsidRPr="007F049D" w:rsidRDefault="007F049D" w:rsidP="007F049D">
      <w:pPr>
        <w:numPr>
          <w:ilvl w:val="0"/>
          <w:numId w:val="2"/>
        </w:numPr>
        <w:ind w:left="360"/>
        <w:rPr>
          <w:rFonts w:cs="Arial"/>
          <w:szCs w:val="22"/>
        </w:rPr>
      </w:pPr>
      <w:r w:rsidRPr="007F049D">
        <w:rPr>
          <w:rFonts w:cs="Arial"/>
          <w:szCs w:val="22"/>
        </w:rPr>
        <w:t>Micromedex (electronic version). Merative, Ann Arbor, Michigan, USA. Available at: https://www.micromedexsolutions.com/</w:t>
      </w:r>
      <w:r w:rsidRPr="007F049D">
        <w:rPr>
          <w:rFonts w:cs="Arial"/>
          <w:color w:val="0000FF"/>
          <w:szCs w:val="22"/>
          <w:u w:val="single"/>
        </w:rPr>
        <w:t xml:space="preserve"> </w:t>
      </w:r>
      <w:r w:rsidRPr="007F049D">
        <w:rPr>
          <w:rFonts w:cs="Arial"/>
          <w:szCs w:val="22"/>
        </w:rPr>
        <w:t>(cited: 0</w:t>
      </w:r>
      <w:r w:rsidR="00F4643C">
        <w:rPr>
          <w:rFonts w:cs="Arial"/>
          <w:szCs w:val="22"/>
        </w:rPr>
        <w:t>6</w:t>
      </w:r>
      <w:r w:rsidRPr="007F049D">
        <w:rPr>
          <w:rFonts w:cs="Arial"/>
          <w:szCs w:val="22"/>
        </w:rPr>
        <w:t>/</w:t>
      </w:r>
      <w:r w:rsidR="00F4643C">
        <w:rPr>
          <w:rFonts w:cs="Arial"/>
          <w:szCs w:val="22"/>
        </w:rPr>
        <w:t>05</w:t>
      </w:r>
      <w:r w:rsidRPr="007F049D">
        <w:rPr>
          <w:rFonts w:cs="Arial"/>
          <w:szCs w:val="22"/>
        </w:rPr>
        <w:t>/202</w:t>
      </w:r>
      <w:r w:rsidR="00F4643C">
        <w:rPr>
          <w:rFonts w:cs="Arial"/>
          <w:szCs w:val="22"/>
        </w:rPr>
        <w:t>5</w:t>
      </w:r>
      <w:r w:rsidRPr="007F049D">
        <w:rPr>
          <w:rFonts w:cs="Arial"/>
          <w:szCs w:val="22"/>
        </w:rPr>
        <w:t>).</w:t>
      </w:r>
      <w:bookmarkEnd w:id="4"/>
    </w:p>
    <w:p w14:paraId="063F40DD" w14:textId="77777777" w:rsidR="007F049D" w:rsidRPr="007F049D" w:rsidRDefault="007F049D" w:rsidP="007F049D">
      <w:pPr>
        <w:numPr>
          <w:ilvl w:val="0"/>
          <w:numId w:val="2"/>
        </w:numPr>
        <w:ind w:left="360"/>
        <w:rPr>
          <w:rFonts w:cs="Arial"/>
          <w:szCs w:val="22"/>
        </w:rPr>
      </w:pPr>
      <w:r w:rsidRPr="007F049D">
        <w:rPr>
          <w:rFonts w:cs="Arial"/>
          <w:szCs w:val="22"/>
        </w:rPr>
        <w:t>Centers for Disease Control and Prevention Influenza (Flu) – Health Professionals – Influenza Antiviral Medications: Summary for Clinicians. Available at: https://www.cdc.gov/flu/professionals/antivirals/summary-clinicians.htm. Accessed August 19, 2024.</w:t>
      </w:r>
    </w:p>
    <w:p w14:paraId="43A81848" w14:textId="77777777" w:rsidR="007F049D" w:rsidRPr="007F049D" w:rsidRDefault="007F049D" w:rsidP="007F049D">
      <w:pPr>
        <w:numPr>
          <w:ilvl w:val="0"/>
          <w:numId w:val="2"/>
        </w:numPr>
        <w:ind w:left="360"/>
        <w:rPr>
          <w:rFonts w:cs="Arial"/>
          <w:szCs w:val="22"/>
        </w:rPr>
      </w:pPr>
      <w:r w:rsidRPr="007F049D">
        <w:rPr>
          <w:rFonts w:cs="Arial"/>
          <w:szCs w:val="22"/>
        </w:rPr>
        <w:t xml:space="preserve">American Academy of Pediatrics Committee on Infectious Diseases. Recommendations for Prevention and Control of Influenza in Children, 2022–2023. </w:t>
      </w:r>
      <w:r w:rsidRPr="007F049D">
        <w:rPr>
          <w:rFonts w:cs="Arial"/>
          <w:i/>
          <w:szCs w:val="22"/>
        </w:rPr>
        <w:t>Pediatrics</w:t>
      </w:r>
      <w:r w:rsidRPr="007F049D">
        <w:rPr>
          <w:rFonts w:cs="Arial"/>
          <w:szCs w:val="22"/>
        </w:rPr>
        <w:t>. 2022;150(4).</w:t>
      </w:r>
    </w:p>
    <w:p w14:paraId="22B84C43" w14:textId="77777777" w:rsidR="007F049D" w:rsidRPr="007F049D" w:rsidRDefault="007F049D" w:rsidP="007F049D">
      <w:pPr>
        <w:numPr>
          <w:ilvl w:val="0"/>
          <w:numId w:val="2"/>
        </w:numPr>
        <w:ind w:left="360"/>
        <w:rPr>
          <w:rFonts w:cs="Arial"/>
          <w:szCs w:val="22"/>
        </w:rPr>
      </w:pPr>
      <w:r w:rsidRPr="007F049D">
        <w:rPr>
          <w:rFonts w:cs="Arial"/>
          <w:szCs w:val="22"/>
        </w:rPr>
        <w:t xml:space="preserve">Uyeki TM, Bernstein HH, Bradley JS, et al. Clinical Practice Guidelines by the Infectious Diseases Society of America: 2018 Update on Diagnosis, Treatment, Chemoprophylaxis, and Institutional Outbreak Management of Seasonal Influenza. </w:t>
      </w:r>
      <w:r w:rsidRPr="007F049D">
        <w:rPr>
          <w:rFonts w:cs="Arial"/>
          <w:i/>
          <w:szCs w:val="22"/>
        </w:rPr>
        <w:t>Clin Infect Dis</w:t>
      </w:r>
      <w:r w:rsidRPr="007F049D">
        <w:rPr>
          <w:rFonts w:cs="Arial"/>
          <w:szCs w:val="22"/>
        </w:rPr>
        <w:t>. 2019;68(6):e1–e47.</w:t>
      </w:r>
    </w:p>
    <w:sectPr w:rsidR="007F049D" w:rsidRPr="007F049D" w:rsidSect="00C610EF">
      <w:type w:val="continuous"/>
      <w:pgSz w:w="12240" w:h="15840" w:code="1"/>
      <w:pgMar w:top="900" w:right="720" w:bottom="990" w:left="720" w:header="720" w:footer="130"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8ECFD" w14:textId="77777777" w:rsidR="00DD0A8A" w:rsidRDefault="00DD0A8A">
      <w:r>
        <w:separator/>
      </w:r>
    </w:p>
  </w:endnote>
  <w:endnote w:type="continuationSeparator" w:id="0">
    <w:p w14:paraId="5D7539E7" w14:textId="77777777" w:rsidR="00DD0A8A" w:rsidRDefault="00DD0A8A">
      <w:r>
        <w:continuationSeparator/>
      </w:r>
    </w:p>
  </w:endnote>
  <w:endnote w:type="continuationNotice" w:id="1">
    <w:p w14:paraId="7D66FB28" w14:textId="77777777" w:rsidR="00DD0A8A" w:rsidRDefault="00DD0A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38A0" w14:textId="77777777" w:rsidR="00C610EF" w:rsidRPr="00206AA5" w:rsidRDefault="00C610EF" w:rsidP="00C610EF">
    <w:pPr>
      <w:pStyle w:val="Marginfooter"/>
    </w:pPr>
    <w:r>
      <w:fldChar w:fldCharType="begin"/>
    </w:r>
    <w:r>
      <w:instrText xml:space="preserve"> FILENAME   \* MERGEFORMAT </w:instrText>
    </w:r>
    <w:r>
      <w:fldChar w:fldCharType="separate"/>
    </w:r>
    <w:r w:rsidRPr="00D93B7E">
      <w:rPr>
        <w:snapToGrid/>
        <w:color w:val="auto"/>
      </w:rPr>
      <w:t>Influenza</w:t>
    </w:r>
    <w:r>
      <w:t xml:space="preserve"> Treatment and</w:t>
    </w:r>
    <w:r w:rsidRPr="00D93B7E">
      <w:rPr>
        <w:snapToGrid/>
        <w:color w:val="auto"/>
      </w:rPr>
      <w:t xml:space="preserve"> Prevention</w:t>
    </w:r>
    <w:r>
      <w:t xml:space="preserve"> Post Limit PA 111-J P09-2024 v2.docx</w:t>
    </w:r>
    <w:r>
      <w:fldChar w:fldCharType="end"/>
    </w:r>
    <w:r w:rsidRPr="00206AA5">
      <w:tab/>
      <w:t>© 202</w:t>
    </w:r>
    <w:r>
      <w:t>5</w:t>
    </w:r>
    <w:r w:rsidRPr="00206AA5">
      <w:t xml:space="preserve"> CVS Caremark. All rights reserved.</w:t>
    </w:r>
  </w:p>
  <w:p w14:paraId="10192167" w14:textId="77777777" w:rsidR="00C610EF" w:rsidRPr="00206AA5" w:rsidRDefault="00C610EF" w:rsidP="00C610EF">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0AE7E23B" w14:textId="2F2326A3" w:rsidR="00FC60A1" w:rsidRPr="00C610EF" w:rsidRDefault="00C610EF" w:rsidP="00C610EF">
    <w:pPr>
      <w:pStyle w:val="Marginfooterdisclaimer"/>
      <w:jc w:val="center"/>
    </w:pPr>
    <w:r w:rsidRPr="00206AA5">
      <w:fldChar w:fldCharType="begin"/>
    </w:r>
    <w:r w:rsidRPr="00206AA5">
      <w:instrText xml:space="preserve"> PAGE </w:instrText>
    </w:r>
    <w:r w:rsidRPr="00206AA5">
      <w:fldChar w:fldCharType="separate"/>
    </w:r>
    <w:r>
      <w:t>1</w:t>
    </w:r>
    <w:r w:rsidRPr="00206AA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7BE3" w14:textId="6A814A64" w:rsidR="00FC60A1" w:rsidRPr="00206AA5" w:rsidRDefault="00C60882" w:rsidP="00CD25F5">
    <w:pPr>
      <w:pStyle w:val="Marginfooter"/>
    </w:pPr>
    <w:fldSimple w:instr=" FILENAME   \* MERGEFORMAT ">
      <w:r w:rsidR="00D93B7E" w:rsidRPr="00D93B7E">
        <w:rPr>
          <w:snapToGrid/>
          <w:color w:val="auto"/>
        </w:rPr>
        <w:t>Influenza</w:t>
      </w:r>
      <w:r w:rsidR="00D93B7E">
        <w:t xml:space="preserve"> Treatment and</w:t>
      </w:r>
      <w:r w:rsidR="00D93B7E" w:rsidRPr="00D93B7E">
        <w:rPr>
          <w:snapToGrid/>
          <w:color w:val="auto"/>
        </w:rPr>
        <w:t xml:space="preserve"> Prevention</w:t>
      </w:r>
      <w:r w:rsidR="00D93B7E">
        <w:t xml:space="preserve"> Post Limit PA 111-J P09-2024 v2.docx</w:t>
      </w:r>
    </w:fldSimple>
    <w:r w:rsidR="00FC60A1" w:rsidRPr="00206AA5">
      <w:tab/>
      <w:t>© 202</w:t>
    </w:r>
    <w:r w:rsidR="005B73FF">
      <w:t>5</w:t>
    </w:r>
    <w:r w:rsidR="00FC60A1" w:rsidRPr="00206AA5">
      <w:t xml:space="preserve"> CVS Caremark. All rights reserved.</w:t>
    </w:r>
  </w:p>
  <w:p w14:paraId="66B0678A" w14:textId="5014A4D2" w:rsidR="00FC60A1" w:rsidRPr="00206AA5" w:rsidRDefault="00FC60A1"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1880FC31" w14:textId="77777777" w:rsidR="00FC60A1" w:rsidRPr="00913D5E" w:rsidRDefault="00FC60A1" w:rsidP="00913D5E">
    <w:pPr>
      <w:autoSpaceDE w:val="0"/>
      <w:autoSpaceDN w:val="0"/>
      <w:adjustRightInd w:val="0"/>
      <w:jc w:val="center"/>
      <w:rPr>
        <w:rFonts w:cs="Arial"/>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7377F" w14:textId="77777777" w:rsidR="00DD0A8A" w:rsidRDefault="00DD0A8A">
      <w:r>
        <w:separator/>
      </w:r>
    </w:p>
  </w:footnote>
  <w:footnote w:type="continuationSeparator" w:id="0">
    <w:p w14:paraId="67056FA2" w14:textId="77777777" w:rsidR="00DD0A8A" w:rsidRDefault="00DD0A8A">
      <w:r>
        <w:continuationSeparator/>
      </w:r>
    </w:p>
  </w:footnote>
  <w:footnote w:type="continuationNotice" w:id="1">
    <w:p w14:paraId="33C30625" w14:textId="77777777" w:rsidR="00DD0A8A" w:rsidRDefault="00DD0A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C60A1" w:rsidRPr="00ED04EC" w14:paraId="28585419" w14:textId="77777777">
      <w:trPr>
        <w:trHeight w:val="144"/>
        <w:jc w:val="right"/>
      </w:trPr>
      <w:tc>
        <w:tcPr>
          <w:tcW w:w="1854" w:type="dxa"/>
          <w:hideMark/>
        </w:tcPr>
        <w:p w14:paraId="76D018E7" w14:textId="77777777" w:rsidR="00FC60A1" w:rsidRPr="00AA1E6A" w:rsidRDefault="00FC60A1" w:rsidP="00C67E81">
          <w:pPr>
            <w:pStyle w:val="RefTableHeader"/>
          </w:pPr>
          <w:r w:rsidRPr="00AA1E6A">
            <w:t>Reference number(s)</w:t>
          </w:r>
        </w:p>
      </w:tc>
    </w:tr>
    <w:tr w:rsidR="00FC60A1" w:rsidRPr="00ED04EC" w14:paraId="7578E32A" w14:textId="77777777">
      <w:trPr>
        <w:trHeight w:val="378"/>
        <w:jc w:val="right"/>
      </w:trPr>
      <w:tc>
        <w:tcPr>
          <w:tcW w:w="1854" w:type="dxa"/>
          <w:hideMark/>
        </w:tcPr>
        <w:p w14:paraId="5F9F186C" w14:textId="20F9DF20" w:rsidR="00FC60A1" w:rsidRPr="00AA1E6A" w:rsidRDefault="00157BF4" w:rsidP="00C67E81">
          <w:pPr>
            <w:pStyle w:val="RefTableData"/>
          </w:pPr>
          <w:r>
            <w:t>111-J</w:t>
          </w:r>
        </w:p>
      </w:tc>
    </w:tr>
  </w:tbl>
  <w:p w14:paraId="39AFACBB" w14:textId="77777777" w:rsidR="00FC60A1" w:rsidRPr="00AA1E6A" w:rsidRDefault="00FC60A1"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93954DA"/>
    <w:multiLevelType w:val="multilevel"/>
    <w:tmpl w:val="0470AB48"/>
    <w:numStyleLink w:val="Style1"/>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E523B"/>
    <w:multiLevelType w:val="multilevel"/>
    <w:tmpl w:val="0470AB48"/>
    <w:styleLink w:val="Style1"/>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28"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29" w15:restartNumberingAfterBreak="0">
    <w:nsid w:val="717575A6"/>
    <w:multiLevelType w:val="hybridMultilevel"/>
    <w:tmpl w:val="84E6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7"/>
  </w:num>
  <w:num w:numId="17" w16cid:durableId="2128498676">
    <w:abstractNumId w:val="30"/>
  </w:num>
  <w:num w:numId="18" w16cid:durableId="299724409">
    <w:abstractNumId w:val="21"/>
  </w:num>
  <w:num w:numId="19" w16cid:durableId="214585573">
    <w:abstractNumId w:val="14"/>
  </w:num>
  <w:num w:numId="20" w16cid:durableId="1289816170">
    <w:abstractNumId w:val="15"/>
  </w:num>
  <w:num w:numId="21" w16cid:durableId="1066490929">
    <w:abstractNumId w:val="31"/>
  </w:num>
  <w:num w:numId="22" w16cid:durableId="1472481103">
    <w:abstractNumId w:val="23"/>
  </w:num>
  <w:num w:numId="23" w16cid:durableId="1997420403">
    <w:abstractNumId w:val="26"/>
  </w:num>
  <w:num w:numId="24" w16cid:durableId="33312838">
    <w:abstractNumId w:val="22"/>
  </w:num>
  <w:num w:numId="25" w16cid:durableId="507404939">
    <w:abstractNumId w:val="16"/>
  </w:num>
  <w:num w:numId="26" w16cid:durableId="1226261476">
    <w:abstractNumId w:val="27"/>
  </w:num>
  <w:num w:numId="27" w16cid:durableId="96827982">
    <w:abstractNumId w:val="28"/>
  </w:num>
  <w:num w:numId="28" w16cid:durableId="1865433629">
    <w:abstractNumId w:val="19"/>
  </w:num>
  <w:num w:numId="29" w16cid:durableId="1974553387">
    <w:abstractNumId w:val="24"/>
  </w:num>
  <w:num w:numId="30" w16cid:durableId="2105029227">
    <w:abstractNumId w:val="25"/>
    <w:lvlOverride w:ilvl="0">
      <w:startOverride w:val="1"/>
    </w:lvlOverride>
  </w:num>
  <w:num w:numId="31" w16cid:durableId="1714185058">
    <w:abstractNumId w:val="18"/>
  </w:num>
  <w:num w:numId="32" w16cid:durableId="1857886643">
    <w:abstractNumId w:val="13"/>
  </w:num>
  <w:num w:numId="33" w16cid:durableId="29491637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5F90"/>
    <w:rsid w:val="00006174"/>
    <w:rsid w:val="00006720"/>
    <w:rsid w:val="00006A93"/>
    <w:rsid w:val="00006AC2"/>
    <w:rsid w:val="00006E19"/>
    <w:rsid w:val="00007844"/>
    <w:rsid w:val="00007A56"/>
    <w:rsid w:val="000102A3"/>
    <w:rsid w:val="000106D6"/>
    <w:rsid w:val="00010A20"/>
    <w:rsid w:val="00010FE0"/>
    <w:rsid w:val="00011D89"/>
    <w:rsid w:val="00011ED0"/>
    <w:rsid w:val="00011F36"/>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CBC"/>
    <w:rsid w:val="00022D21"/>
    <w:rsid w:val="0002338D"/>
    <w:rsid w:val="00023954"/>
    <w:rsid w:val="000245E8"/>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3960"/>
    <w:rsid w:val="00036079"/>
    <w:rsid w:val="00036BB0"/>
    <w:rsid w:val="00037636"/>
    <w:rsid w:val="00037A95"/>
    <w:rsid w:val="000425B0"/>
    <w:rsid w:val="00042A01"/>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6976"/>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B9"/>
    <w:rsid w:val="00074BFE"/>
    <w:rsid w:val="00075C18"/>
    <w:rsid w:val="000760A2"/>
    <w:rsid w:val="000760F2"/>
    <w:rsid w:val="00076FED"/>
    <w:rsid w:val="000771F0"/>
    <w:rsid w:val="00077C0D"/>
    <w:rsid w:val="00080866"/>
    <w:rsid w:val="00081951"/>
    <w:rsid w:val="00081D8C"/>
    <w:rsid w:val="00081F48"/>
    <w:rsid w:val="00082357"/>
    <w:rsid w:val="00082825"/>
    <w:rsid w:val="00082B30"/>
    <w:rsid w:val="00082CE9"/>
    <w:rsid w:val="000837A5"/>
    <w:rsid w:val="00083890"/>
    <w:rsid w:val="00083E63"/>
    <w:rsid w:val="00083FC9"/>
    <w:rsid w:val="00085375"/>
    <w:rsid w:val="00085913"/>
    <w:rsid w:val="00085D37"/>
    <w:rsid w:val="00086953"/>
    <w:rsid w:val="00090142"/>
    <w:rsid w:val="00090C1B"/>
    <w:rsid w:val="000913DE"/>
    <w:rsid w:val="00091E1D"/>
    <w:rsid w:val="00092C77"/>
    <w:rsid w:val="00093AB5"/>
    <w:rsid w:val="00094A59"/>
    <w:rsid w:val="00095B9C"/>
    <w:rsid w:val="0009758E"/>
    <w:rsid w:val="0009781E"/>
    <w:rsid w:val="000A0CCE"/>
    <w:rsid w:val="000A1653"/>
    <w:rsid w:val="000A1ACD"/>
    <w:rsid w:val="000A2697"/>
    <w:rsid w:val="000A283F"/>
    <w:rsid w:val="000A34B0"/>
    <w:rsid w:val="000A3543"/>
    <w:rsid w:val="000A42D7"/>
    <w:rsid w:val="000A5AE5"/>
    <w:rsid w:val="000A709B"/>
    <w:rsid w:val="000A71EC"/>
    <w:rsid w:val="000A7D51"/>
    <w:rsid w:val="000B0C59"/>
    <w:rsid w:val="000B0F9D"/>
    <w:rsid w:val="000B104D"/>
    <w:rsid w:val="000B1961"/>
    <w:rsid w:val="000B1FDC"/>
    <w:rsid w:val="000B20CD"/>
    <w:rsid w:val="000B3D0E"/>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8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D5F47"/>
    <w:rsid w:val="000D66F9"/>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D2D"/>
    <w:rsid w:val="000F1FBC"/>
    <w:rsid w:val="000F2A45"/>
    <w:rsid w:val="000F3023"/>
    <w:rsid w:val="000F307F"/>
    <w:rsid w:val="000F41E3"/>
    <w:rsid w:val="000F4745"/>
    <w:rsid w:val="000F5383"/>
    <w:rsid w:val="000F5A0F"/>
    <w:rsid w:val="000F61E0"/>
    <w:rsid w:val="000F677F"/>
    <w:rsid w:val="000F69A0"/>
    <w:rsid w:val="000F6E71"/>
    <w:rsid w:val="000F75BA"/>
    <w:rsid w:val="000F7C6C"/>
    <w:rsid w:val="00100D50"/>
    <w:rsid w:val="001012A6"/>
    <w:rsid w:val="00101748"/>
    <w:rsid w:val="00101C90"/>
    <w:rsid w:val="00101D40"/>
    <w:rsid w:val="0010327C"/>
    <w:rsid w:val="00103E4B"/>
    <w:rsid w:val="00103E71"/>
    <w:rsid w:val="00104849"/>
    <w:rsid w:val="0010527A"/>
    <w:rsid w:val="001054B4"/>
    <w:rsid w:val="00105956"/>
    <w:rsid w:val="00105A84"/>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2B1F"/>
    <w:rsid w:val="00123A0B"/>
    <w:rsid w:val="001244C1"/>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0BC"/>
    <w:rsid w:val="001356EF"/>
    <w:rsid w:val="00136032"/>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36B0"/>
    <w:rsid w:val="00154B0F"/>
    <w:rsid w:val="00154E30"/>
    <w:rsid w:val="00155A51"/>
    <w:rsid w:val="001560C4"/>
    <w:rsid w:val="00156A50"/>
    <w:rsid w:val="00156B77"/>
    <w:rsid w:val="00156E31"/>
    <w:rsid w:val="00157BF4"/>
    <w:rsid w:val="00160472"/>
    <w:rsid w:val="00162951"/>
    <w:rsid w:val="00162A7E"/>
    <w:rsid w:val="001630B4"/>
    <w:rsid w:val="001634E5"/>
    <w:rsid w:val="00165258"/>
    <w:rsid w:val="00165670"/>
    <w:rsid w:val="00165A99"/>
    <w:rsid w:val="00165AA3"/>
    <w:rsid w:val="001675AA"/>
    <w:rsid w:val="00170325"/>
    <w:rsid w:val="0017283E"/>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87E7C"/>
    <w:rsid w:val="00190200"/>
    <w:rsid w:val="00190D7E"/>
    <w:rsid w:val="001914C8"/>
    <w:rsid w:val="001916D1"/>
    <w:rsid w:val="00191904"/>
    <w:rsid w:val="00192769"/>
    <w:rsid w:val="001933EE"/>
    <w:rsid w:val="00193696"/>
    <w:rsid w:val="001944B7"/>
    <w:rsid w:val="0019677F"/>
    <w:rsid w:val="0019733B"/>
    <w:rsid w:val="00197771"/>
    <w:rsid w:val="001A0E7C"/>
    <w:rsid w:val="001A199C"/>
    <w:rsid w:val="001A2781"/>
    <w:rsid w:val="001A2987"/>
    <w:rsid w:val="001A320A"/>
    <w:rsid w:val="001A33ED"/>
    <w:rsid w:val="001A432C"/>
    <w:rsid w:val="001A4C1C"/>
    <w:rsid w:val="001A4DBB"/>
    <w:rsid w:val="001A5523"/>
    <w:rsid w:val="001A576D"/>
    <w:rsid w:val="001A57C5"/>
    <w:rsid w:val="001A6053"/>
    <w:rsid w:val="001A7761"/>
    <w:rsid w:val="001B0922"/>
    <w:rsid w:val="001B11B7"/>
    <w:rsid w:val="001B459A"/>
    <w:rsid w:val="001B4C8F"/>
    <w:rsid w:val="001B5232"/>
    <w:rsid w:val="001B674E"/>
    <w:rsid w:val="001B6FFC"/>
    <w:rsid w:val="001B72C7"/>
    <w:rsid w:val="001C1C00"/>
    <w:rsid w:val="001C1C5D"/>
    <w:rsid w:val="001C2409"/>
    <w:rsid w:val="001C4413"/>
    <w:rsid w:val="001C498D"/>
    <w:rsid w:val="001C4AFD"/>
    <w:rsid w:val="001C50A0"/>
    <w:rsid w:val="001C5167"/>
    <w:rsid w:val="001C55A0"/>
    <w:rsid w:val="001C578E"/>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2DBD"/>
    <w:rsid w:val="001E43E4"/>
    <w:rsid w:val="001E43FF"/>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31AE"/>
    <w:rsid w:val="001F3897"/>
    <w:rsid w:val="001F4025"/>
    <w:rsid w:val="001F43D9"/>
    <w:rsid w:val="001F4BF6"/>
    <w:rsid w:val="001F55CC"/>
    <w:rsid w:val="001F5765"/>
    <w:rsid w:val="001F6065"/>
    <w:rsid w:val="001F629F"/>
    <w:rsid w:val="001F6363"/>
    <w:rsid w:val="001F6373"/>
    <w:rsid w:val="001F65FB"/>
    <w:rsid w:val="001F6F6F"/>
    <w:rsid w:val="001F7424"/>
    <w:rsid w:val="002017F4"/>
    <w:rsid w:val="0020279F"/>
    <w:rsid w:val="002027FF"/>
    <w:rsid w:val="00202A61"/>
    <w:rsid w:val="00202E2F"/>
    <w:rsid w:val="00203468"/>
    <w:rsid w:val="002036D7"/>
    <w:rsid w:val="002041BB"/>
    <w:rsid w:val="002041DB"/>
    <w:rsid w:val="00204EAC"/>
    <w:rsid w:val="002063D0"/>
    <w:rsid w:val="00206414"/>
    <w:rsid w:val="00206AA5"/>
    <w:rsid w:val="0020721A"/>
    <w:rsid w:val="002077DB"/>
    <w:rsid w:val="00207EA9"/>
    <w:rsid w:val="00210959"/>
    <w:rsid w:val="00211154"/>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365F3"/>
    <w:rsid w:val="00236CE3"/>
    <w:rsid w:val="00240136"/>
    <w:rsid w:val="00240736"/>
    <w:rsid w:val="00240C70"/>
    <w:rsid w:val="002413DD"/>
    <w:rsid w:val="0024185D"/>
    <w:rsid w:val="002423DE"/>
    <w:rsid w:val="00242E29"/>
    <w:rsid w:val="00242F54"/>
    <w:rsid w:val="00243017"/>
    <w:rsid w:val="0024305D"/>
    <w:rsid w:val="00243BDB"/>
    <w:rsid w:val="00244442"/>
    <w:rsid w:val="0024498F"/>
    <w:rsid w:val="00247E07"/>
    <w:rsid w:val="002504F9"/>
    <w:rsid w:val="00250C39"/>
    <w:rsid w:val="00250E25"/>
    <w:rsid w:val="00251EE2"/>
    <w:rsid w:val="00252CE1"/>
    <w:rsid w:val="0025338B"/>
    <w:rsid w:val="0025395A"/>
    <w:rsid w:val="00253A47"/>
    <w:rsid w:val="00254313"/>
    <w:rsid w:val="0025443F"/>
    <w:rsid w:val="00254966"/>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3E1"/>
    <w:rsid w:val="002754FA"/>
    <w:rsid w:val="00276114"/>
    <w:rsid w:val="0027637A"/>
    <w:rsid w:val="002763A4"/>
    <w:rsid w:val="002765AF"/>
    <w:rsid w:val="00276AF9"/>
    <w:rsid w:val="00277212"/>
    <w:rsid w:val="002773DB"/>
    <w:rsid w:val="00277791"/>
    <w:rsid w:val="002777DF"/>
    <w:rsid w:val="002800BA"/>
    <w:rsid w:val="002807CC"/>
    <w:rsid w:val="00280C69"/>
    <w:rsid w:val="00280EC5"/>
    <w:rsid w:val="002812A0"/>
    <w:rsid w:val="00281A75"/>
    <w:rsid w:val="00281F6C"/>
    <w:rsid w:val="0028452B"/>
    <w:rsid w:val="00284D74"/>
    <w:rsid w:val="002856C1"/>
    <w:rsid w:val="002868C0"/>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A53"/>
    <w:rsid w:val="00296EC3"/>
    <w:rsid w:val="00297405"/>
    <w:rsid w:val="002A02BE"/>
    <w:rsid w:val="002A0A24"/>
    <w:rsid w:val="002A0A3B"/>
    <w:rsid w:val="002A0DB7"/>
    <w:rsid w:val="002A0F12"/>
    <w:rsid w:val="002A1602"/>
    <w:rsid w:val="002A16BD"/>
    <w:rsid w:val="002A1A1C"/>
    <w:rsid w:val="002A245D"/>
    <w:rsid w:val="002A3CC2"/>
    <w:rsid w:val="002A529C"/>
    <w:rsid w:val="002A58FA"/>
    <w:rsid w:val="002A6B25"/>
    <w:rsid w:val="002A6B4B"/>
    <w:rsid w:val="002A6CA0"/>
    <w:rsid w:val="002A70D8"/>
    <w:rsid w:val="002A7F2B"/>
    <w:rsid w:val="002B0460"/>
    <w:rsid w:val="002B06CF"/>
    <w:rsid w:val="002B07EA"/>
    <w:rsid w:val="002B0B5F"/>
    <w:rsid w:val="002B0F7E"/>
    <w:rsid w:val="002B101E"/>
    <w:rsid w:val="002B1581"/>
    <w:rsid w:val="002B2468"/>
    <w:rsid w:val="002B306F"/>
    <w:rsid w:val="002B3172"/>
    <w:rsid w:val="002B337E"/>
    <w:rsid w:val="002B4271"/>
    <w:rsid w:val="002B68AF"/>
    <w:rsid w:val="002B6A94"/>
    <w:rsid w:val="002B751E"/>
    <w:rsid w:val="002B7A9E"/>
    <w:rsid w:val="002B7F07"/>
    <w:rsid w:val="002B7FDB"/>
    <w:rsid w:val="002C0682"/>
    <w:rsid w:val="002C1498"/>
    <w:rsid w:val="002C1864"/>
    <w:rsid w:val="002C20ED"/>
    <w:rsid w:val="002C25CE"/>
    <w:rsid w:val="002C340B"/>
    <w:rsid w:val="002C4044"/>
    <w:rsid w:val="002C4DE3"/>
    <w:rsid w:val="002C4DF1"/>
    <w:rsid w:val="002C554A"/>
    <w:rsid w:val="002C56FC"/>
    <w:rsid w:val="002C5C53"/>
    <w:rsid w:val="002C6509"/>
    <w:rsid w:val="002C674A"/>
    <w:rsid w:val="002C6CE0"/>
    <w:rsid w:val="002C7085"/>
    <w:rsid w:val="002C7217"/>
    <w:rsid w:val="002D036B"/>
    <w:rsid w:val="002D08E3"/>
    <w:rsid w:val="002D0E27"/>
    <w:rsid w:val="002D115E"/>
    <w:rsid w:val="002D14E1"/>
    <w:rsid w:val="002D1E70"/>
    <w:rsid w:val="002D27EE"/>
    <w:rsid w:val="002D2C61"/>
    <w:rsid w:val="002D2E07"/>
    <w:rsid w:val="002D35B0"/>
    <w:rsid w:val="002D49E5"/>
    <w:rsid w:val="002D6257"/>
    <w:rsid w:val="002D6987"/>
    <w:rsid w:val="002D7FE0"/>
    <w:rsid w:val="002E030E"/>
    <w:rsid w:val="002E06B0"/>
    <w:rsid w:val="002E15A0"/>
    <w:rsid w:val="002E1D9A"/>
    <w:rsid w:val="002E254D"/>
    <w:rsid w:val="002E2A31"/>
    <w:rsid w:val="002E362E"/>
    <w:rsid w:val="002E3C61"/>
    <w:rsid w:val="002E3D87"/>
    <w:rsid w:val="002E5C63"/>
    <w:rsid w:val="002E6AE1"/>
    <w:rsid w:val="002E6B57"/>
    <w:rsid w:val="002E7264"/>
    <w:rsid w:val="002F1388"/>
    <w:rsid w:val="002F23BB"/>
    <w:rsid w:val="002F2992"/>
    <w:rsid w:val="002F2FA8"/>
    <w:rsid w:val="002F311C"/>
    <w:rsid w:val="002F335A"/>
    <w:rsid w:val="002F5F01"/>
    <w:rsid w:val="002F6300"/>
    <w:rsid w:val="0030016D"/>
    <w:rsid w:val="00301F62"/>
    <w:rsid w:val="00302DBD"/>
    <w:rsid w:val="003030D7"/>
    <w:rsid w:val="00303DCD"/>
    <w:rsid w:val="00304F20"/>
    <w:rsid w:val="00305223"/>
    <w:rsid w:val="00305A72"/>
    <w:rsid w:val="00305BDF"/>
    <w:rsid w:val="00305F83"/>
    <w:rsid w:val="00306B2E"/>
    <w:rsid w:val="003070FF"/>
    <w:rsid w:val="00307499"/>
    <w:rsid w:val="00307893"/>
    <w:rsid w:val="00307DCC"/>
    <w:rsid w:val="003116A8"/>
    <w:rsid w:val="00311C31"/>
    <w:rsid w:val="003127DD"/>
    <w:rsid w:val="0031281C"/>
    <w:rsid w:val="00312E1C"/>
    <w:rsid w:val="00313EB3"/>
    <w:rsid w:val="00313FC5"/>
    <w:rsid w:val="00315003"/>
    <w:rsid w:val="00315D6F"/>
    <w:rsid w:val="00316DC1"/>
    <w:rsid w:val="00320652"/>
    <w:rsid w:val="003213DE"/>
    <w:rsid w:val="00321446"/>
    <w:rsid w:val="00322EB1"/>
    <w:rsid w:val="00323534"/>
    <w:rsid w:val="003242E2"/>
    <w:rsid w:val="003254F4"/>
    <w:rsid w:val="0032555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0AE"/>
    <w:rsid w:val="0034083D"/>
    <w:rsid w:val="003409BE"/>
    <w:rsid w:val="00340B83"/>
    <w:rsid w:val="00341929"/>
    <w:rsid w:val="00341F47"/>
    <w:rsid w:val="00342365"/>
    <w:rsid w:val="003425C6"/>
    <w:rsid w:val="00342762"/>
    <w:rsid w:val="00343BE2"/>
    <w:rsid w:val="00343E90"/>
    <w:rsid w:val="003468AA"/>
    <w:rsid w:val="00346D5D"/>
    <w:rsid w:val="00347C02"/>
    <w:rsid w:val="00347E64"/>
    <w:rsid w:val="00350DF1"/>
    <w:rsid w:val="00351501"/>
    <w:rsid w:val="003524E5"/>
    <w:rsid w:val="00352959"/>
    <w:rsid w:val="00352B5E"/>
    <w:rsid w:val="00352BC7"/>
    <w:rsid w:val="003543BE"/>
    <w:rsid w:val="00354AE7"/>
    <w:rsid w:val="00354CFD"/>
    <w:rsid w:val="00355509"/>
    <w:rsid w:val="00355DCF"/>
    <w:rsid w:val="003569BC"/>
    <w:rsid w:val="00356EA2"/>
    <w:rsid w:val="00357386"/>
    <w:rsid w:val="003579FC"/>
    <w:rsid w:val="003608FE"/>
    <w:rsid w:val="00360BCE"/>
    <w:rsid w:val="00360F75"/>
    <w:rsid w:val="00362CE9"/>
    <w:rsid w:val="00362D53"/>
    <w:rsid w:val="003634B5"/>
    <w:rsid w:val="00363EF7"/>
    <w:rsid w:val="00363F55"/>
    <w:rsid w:val="0036404E"/>
    <w:rsid w:val="00364436"/>
    <w:rsid w:val="003649B7"/>
    <w:rsid w:val="00364A41"/>
    <w:rsid w:val="00364AC1"/>
    <w:rsid w:val="00364CF9"/>
    <w:rsid w:val="003653E2"/>
    <w:rsid w:val="003655B0"/>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38"/>
    <w:rsid w:val="00381B05"/>
    <w:rsid w:val="00381B16"/>
    <w:rsid w:val="0038248C"/>
    <w:rsid w:val="00382C29"/>
    <w:rsid w:val="00382C85"/>
    <w:rsid w:val="0038309E"/>
    <w:rsid w:val="00384D85"/>
    <w:rsid w:val="0038594B"/>
    <w:rsid w:val="00385A6F"/>
    <w:rsid w:val="00385C81"/>
    <w:rsid w:val="00386F82"/>
    <w:rsid w:val="0039012A"/>
    <w:rsid w:val="003904B1"/>
    <w:rsid w:val="00390BD4"/>
    <w:rsid w:val="00391311"/>
    <w:rsid w:val="003915B9"/>
    <w:rsid w:val="00391A39"/>
    <w:rsid w:val="00391AD4"/>
    <w:rsid w:val="00391F5A"/>
    <w:rsid w:val="003936BB"/>
    <w:rsid w:val="00393961"/>
    <w:rsid w:val="00394467"/>
    <w:rsid w:val="00394F2E"/>
    <w:rsid w:val="00395521"/>
    <w:rsid w:val="00395A71"/>
    <w:rsid w:val="00395C40"/>
    <w:rsid w:val="00396A5B"/>
    <w:rsid w:val="00396D00"/>
    <w:rsid w:val="003A0693"/>
    <w:rsid w:val="003A1000"/>
    <w:rsid w:val="003A2056"/>
    <w:rsid w:val="003A4B3A"/>
    <w:rsid w:val="003A4B9E"/>
    <w:rsid w:val="003A5707"/>
    <w:rsid w:val="003A6459"/>
    <w:rsid w:val="003A7860"/>
    <w:rsid w:val="003A796A"/>
    <w:rsid w:val="003B009E"/>
    <w:rsid w:val="003B1472"/>
    <w:rsid w:val="003B1A5F"/>
    <w:rsid w:val="003B1D0F"/>
    <w:rsid w:val="003B282B"/>
    <w:rsid w:val="003B2B19"/>
    <w:rsid w:val="003B3A69"/>
    <w:rsid w:val="003B4BC1"/>
    <w:rsid w:val="003B5A8C"/>
    <w:rsid w:val="003B5C47"/>
    <w:rsid w:val="003B6158"/>
    <w:rsid w:val="003B7DE9"/>
    <w:rsid w:val="003C1EA0"/>
    <w:rsid w:val="003C2846"/>
    <w:rsid w:val="003C2DBA"/>
    <w:rsid w:val="003C2F46"/>
    <w:rsid w:val="003C3B92"/>
    <w:rsid w:val="003C3EB1"/>
    <w:rsid w:val="003C441A"/>
    <w:rsid w:val="003C47E1"/>
    <w:rsid w:val="003C4CD4"/>
    <w:rsid w:val="003C4E23"/>
    <w:rsid w:val="003C66DD"/>
    <w:rsid w:val="003C6EB7"/>
    <w:rsid w:val="003C6ED6"/>
    <w:rsid w:val="003C7530"/>
    <w:rsid w:val="003D0BBA"/>
    <w:rsid w:val="003D0BF1"/>
    <w:rsid w:val="003D16A3"/>
    <w:rsid w:val="003D171E"/>
    <w:rsid w:val="003D1B9C"/>
    <w:rsid w:val="003D1FBC"/>
    <w:rsid w:val="003D240A"/>
    <w:rsid w:val="003D2BE7"/>
    <w:rsid w:val="003D2ECF"/>
    <w:rsid w:val="003D2F4D"/>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5BC1"/>
    <w:rsid w:val="003E637B"/>
    <w:rsid w:val="003E6FC2"/>
    <w:rsid w:val="003E7191"/>
    <w:rsid w:val="003E7944"/>
    <w:rsid w:val="003F057E"/>
    <w:rsid w:val="003F125A"/>
    <w:rsid w:val="003F1304"/>
    <w:rsid w:val="003F21EE"/>
    <w:rsid w:val="003F2C67"/>
    <w:rsid w:val="003F373A"/>
    <w:rsid w:val="003F5824"/>
    <w:rsid w:val="003F5BE6"/>
    <w:rsid w:val="003F61E0"/>
    <w:rsid w:val="003F641B"/>
    <w:rsid w:val="003F6B36"/>
    <w:rsid w:val="003F75BB"/>
    <w:rsid w:val="003F7A17"/>
    <w:rsid w:val="004003B3"/>
    <w:rsid w:val="00401043"/>
    <w:rsid w:val="00401820"/>
    <w:rsid w:val="00402C8F"/>
    <w:rsid w:val="00402FED"/>
    <w:rsid w:val="00403087"/>
    <w:rsid w:val="004032A5"/>
    <w:rsid w:val="0040594C"/>
    <w:rsid w:val="00405C5D"/>
    <w:rsid w:val="00407C38"/>
    <w:rsid w:val="0041061B"/>
    <w:rsid w:val="004106BD"/>
    <w:rsid w:val="00411195"/>
    <w:rsid w:val="00411413"/>
    <w:rsid w:val="004117FE"/>
    <w:rsid w:val="004127A0"/>
    <w:rsid w:val="00412ABD"/>
    <w:rsid w:val="00412C14"/>
    <w:rsid w:val="00413801"/>
    <w:rsid w:val="00413861"/>
    <w:rsid w:val="0041471C"/>
    <w:rsid w:val="004154F5"/>
    <w:rsid w:val="0041567E"/>
    <w:rsid w:val="00416B9A"/>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68"/>
    <w:rsid w:val="00427B15"/>
    <w:rsid w:val="004308BC"/>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2C3A"/>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52A"/>
    <w:rsid w:val="004548ED"/>
    <w:rsid w:val="00454A31"/>
    <w:rsid w:val="00456003"/>
    <w:rsid w:val="00456A47"/>
    <w:rsid w:val="00457191"/>
    <w:rsid w:val="0045774A"/>
    <w:rsid w:val="0045790D"/>
    <w:rsid w:val="00457BC4"/>
    <w:rsid w:val="00460001"/>
    <w:rsid w:val="0046058E"/>
    <w:rsid w:val="00460F4A"/>
    <w:rsid w:val="00460F61"/>
    <w:rsid w:val="0046197A"/>
    <w:rsid w:val="00461A9E"/>
    <w:rsid w:val="00462B2D"/>
    <w:rsid w:val="00462FA2"/>
    <w:rsid w:val="00465D41"/>
    <w:rsid w:val="00467039"/>
    <w:rsid w:val="0046758D"/>
    <w:rsid w:val="0046774D"/>
    <w:rsid w:val="004701D8"/>
    <w:rsid w:val="00470A2B"/>
    <w:rsid w:val="00470AC4"/>
    <w:rsid w:val="004715B7"/>
    <w:rsid w:val="004715CD"/>
    <w:rsid w:val="00471CB4"/>
    <w:rsid w:val="004724B2"/>
    <w:rsid w:val="00472590"/>
    <w:rsid w:val="004725B9"/>
    <w:rsid w:val="00472BA6"/>
    <w:rsid w:val="00472D92"/>
    <w:rsid w:val="004733F3"/>
    <w:rsid w:val="004743C0"/>
    <w:rsid w:val="0047478A"/>
    <w:rsid w:val="00474CA4"/>
    <w:rsid w:val="00474E36"/>
    <w:rsid w:val="004754C4"/>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6F1"/>
    <w:rsid w:val="00485778"/>
    <w:rsid w:val="00485AD8"/>
    <w:rsid w:val="00485EC2"/>
    <w:rsid w:val="0048627F"/>
    <w:rsid w:val="00486D0D"/>
    <w:rsid w:val="00486F89"/>
    <w:rsid w:val="00486F9E"/>
    <w:rsid w:val="004872D7"/>
    <w:rsid w:val="0048779B"/>
    <w:rsid w:val="00487DA7"/>
    <w:rsid w:val="00487FF5"/>
    <w:rsid w:val="00490862"/>
    <w:rsid w:val="00490D14"/>
    <w:rsid w:val="0049110A"/>
    <w:rsid w:val="00491AAF"/>
    <w:rsid w:val="00492DA6"/>
    <w:rsid w:val="004932BB"/>
    <w:rsid w:val="00493AED"/>
    <w:rsid w:val="00494054"/>
    <w:rsid w:val="004943D8"/>
    <w:rsid w:val="00494B52"/>
    <w:rsid w:val="00495ADE"/>
    <w:rsid w:val="0049611C"/>
    <w:rsid w:val="00497D66"/>
    <w:rsid w:val="004A0605"/>
    <w:rsid w:val="004A0803"/>
    <w:rsid w:val="004A0F44"/>
    <w:rsid w:val="004A221B"/>
    <w:rsid w:val="004A23E2"/>
    <w:rsid w:val="004A261A"/>
    <w:rsid w:val="004A36A8"/>
    <w:rsid w:val="004A37EB"/>
    <w:rsid w:val="004A3A2D"/>
    <w:rsid w:val="004A3CCF"/>
    <w:rsid w:val="004A3D13"/>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1C7"/>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2BD0"/>
    <w:rsid w:val="004E407D"/>
    <w:rsid w:val="004E435B"/>
    <w:rsid w:val="004E4FB7"/>
    <w:rsid w:val="004E563C"/>
    <w:rsid w:val="004E6855"/>
    <w:rsid w:val="004E69C5"/>
    <w:rsid w:val="004E6C9B"/>
    <w:rsid w:val="004E6FA5"/>
    <w:rsid w:val="004F0A1D"/>
    <w:rsid w:val="004F1A5E"/>
    <w:rsid w:val="004F2E2A"/>
    <w:rsid w:val="004F3022"/>
    <w:rsid w:val="004F34FF"/>
    <w:rsid w:val="004F37F3"/>
    <w:rsid w:val="004F3F44"/>
    <w:rsid w:val="004F457C"/>
    <w:rsid w:val="004F46AD"/>
    <w:rsid w:val="004F4C56"/>
    <w:rsid w:val="004F4F14"/>
    <w:rsid w:val="004F5885"/>
    <w:rsid w:val="004F5DCE"/>
    <w:rsid w:val="004F6DE0"/>
    <w:rsid w:val="004F70EB"/>
    <w:rsid w:val="004F71F1"/>
    <w:rsid w:val="004F7DE7"/>
    <w:rsid w:val="004F7DFB"/>
    <w:rsid w:val="00501602"/>
    <w:rsid w:val="00501EDE"/>
    <w:rsid w:val="00502535"/>
    <w:rsid w:val="005026A9"/>
    <w:rsid w:val="00503203"/>
    <w:rsid w:val="005036A0"/>
    <w:rsid w:val="005038FC"/>
    <w:rsid w:val="00503FB8"/>
    <w:rsid w:val="00504015"/>
    <w:rsid w:val="00504A89"/>
    <w:rsid w:val="00504AA5"/>
    <w:rsid w:val="00504B53"/>
    <w:rsid w:val="0050562E"/>
    <w:rsid w:val="005057A5"/>
    <w:rsid w:val="00505BEF"/>
    <w:rsid w:val="00505D33"/>
    <w:rsid w:val="0050618F"/>
    <w:rsid w:val="005072F0"/>
    <w:rsid w:val="00511426"/>
    <w:rsid w:val="00511573"/>
    <w:rsid w:val="005121EE"/>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6BDA"/>
    <w:rsid w:val="00527038"/>
    <w:rsid w:val="00527402"/>
    <w:rsid w:val="005276C8"/>
    <w:rsid w:val="00527DF6"/>
    <w:rsid w:val="00530131"/>
    <w:rsid w:val="00530F8D"/>
    <w:rsid w:val="00530FEB"/>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6D82"/>
    <w:rsid w:val="00537391"/>
    <w:rsid w:val="00537C2E"/>
    <w:rsid w:val="00540230"/>
    <w:rsid w:val="00540519"/>
    <w:rsid w:val="0054060A"/>
    <w:rsid w:val="00540769"/>
    <w:rsid w:val="0054123C"/>
    <w:rsid w:val="00542E88"/>
    <w:rsid w:val="00544B17"/>
    <w:rsid w:val="00544D46"/>
    <w:rsid w:val="00545584"/>
    <w:rsid w:val="005462B1"/>
    <w:rsid w:val="0054721E"/>
    <w:rsid w:val="00547DC8"/>
    <w:rsid w:val="00552A6C"/>
    <w:rsid w:val="00552AD2"/>
    <w:rsid w:val="005539ED"/>
    <w:rsid w:val="00553C00"/>
    <w:rsid w:val="00554074"/>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4F69"/>
    <w:rsid w:val="00565367"/>
    <w:rsid w:val="005658FD"/>
    <w:rsid w:val="00565A82"/>
    <w:rsid w:val="00565D50"/>
    <w:rsid w:val="00566202"/>
    <w:rsid w:val="00566666"/>
    <w:rsid w:val="00566784"/>
    <w:rsid w:val="00566B03"/>
    <w:rsid w:val="00566D18"/>
    <w:rsid w:val="00567075"/>
    <w:rsid w:val="0056761E"/>
    <w:rsid w:val="00571393"/>
    <w:rsid w:val="00571574"/>
    <w:rsid w:val="005724E9"/>
    <w:rsid w:val="0057290E"/>
    <w:rsid w:val="00572BE3"/>
    <w:rsid w:val="00572C22"/>
    <w:rsid w:val="00573B96"/>
    <w:rsid w:val="0057408D"/>
    <w:rsid w:val="00574CC2"/>
    <w:rsid w:val="00574CC9"/>
    <w:rsid w:val="00574D98"/>
    <w:rsid w:val="005752E2"/>
    <w:rsid w:val="0057545A"/>
    <w:rsid w:val="00575FB1"/>
    <w:rsid w:val="0057799B"/>
    <w:rsid w:val="00580455"/>
    <w:rsid w:val="005808CA"/>
    <w:rsid w:val="0058115C"/>
    <w:rsid w:val="0058173B"/>
    <w:rsid w:val="005820B6"/>
    <w:rsid w:val="00582153"/>
    <w:rsid w:val="005828B5"/>
    <w:rsid w:val="00582B42"/>
    <w:rsid w:val="005830E7"/>
    <w:rsid w:val="00583227"/>
    <w:rsid w:val="005837FD"/>
    <w:rsid w:val="005843B5"/>
    <w:rsid w:val="00584C74"/>
    <w:rsid w:val="00585601"/>
    <w:rsid w:val="0058589F"/>
    <w:rsid w:val="005858A3"/>
    <w:rsid w:val="0058593A"/>
    <w:rsid w:val="00585FFF"/>
    <w:rsid w:val="0058649E"/>
    <w:rsid w:val="0058662F"/>
    <w:rsid w:val="0058694F"/>
    <w:rsid w:val="00586ED1"/>
    <w:rsid w:val="005870AE"/>
    <w:rsid w:val="005878D0"/>
    <w:rsid w:val="0059101B"/>
    <w:rsid w:val="00591FAF"/>
    <w:rsid w:val="00592474"/>
    <w:rsid w:val="0059286F"/>
    <w:rsid w:val="00592B8E"/>
    <w:rsid w:val="00592BC7"/>
    <w:rsid w:val="00592D95"/>
    <w:rsid w:val="00592F54"/>
    <w:rsid w:val="00593BAB"/>
    <w:rsid w:val="00593EBB"/>
    <w:rsid w:val="00595B20"/>
    <w:rsid w:val="00596960"/>
    <w:rsid w:val="005970A9"/>
    <w:rsid w:val="00597196"/>
    <w:rsid w:val="00597579"/>
    <w:rsid w:val="00597638"/>
    <w:rsid w:val="00597BF2"/>
    <w:rsid w:val="005A015C"/>
    <w:rsid w:val="005A04AA"/>
    <w:rsid w:val="005A0572"/>
    <w:rsid w:val="005A09BB"/>
    <w:rsid w:val="005A0E43"/>
    <w:rsid w:val="005A16BB"/>
    <w:rsid w:val="005A32D3"/>
    <w:rsid w:val="005A33BD"/>
    <w:rsid w:val="005A3D7E"/>
    <w:rsid w:val="005A4A78"/>
    <w:rsid w:val="005A4DFB"/>
    <w:rsid w:val="005A4FF5"/>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2321"/>
    <w:rsid w:val="005B28D1"/>
    <w:rsid w:val="005B425D"/>
    <w:rsid w:val="005B496D"/>
    <w:rsid w:val="005B52C4"/>
    <w:rsid w:val="005B73FF"/>
    <w:rsid w:val="005C026B"/>
    <w:rsid w:val="005C194C"/>
    <w:rsid w:val="005C1CB6"/>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216"/>
    <w:rsid w:val="005E07D9"/>
    <w:rsid w:val="005E0BD2"/>
    <w:rsid w:val="005E1266"/>
    <w:rsid w:val="005E182B"/>
    <w:rsid w:val="005E1A0E"/>
    <w:rsid w:val="005E3C25"/>
    <w:rsid w:val="005E4938"/>
    <w:rsid w:val="005E564C"/>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2FCF"/>
    <w:rsid w:val="00604463"/>
    <w:rsid w:val="00604555"/>
    <w:rsid w:val="00604A0F"/>
    <w:rsid w:val="00604DB2"/>
    <w:rsid w:val="00605B8A"/>
    <w:rsid w:val="00606DB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03BF"/>
    <w:rsid w:val="00621772"/>
    <w:rsid w:val="00622770"/>
    <w:rsid w:val="00622801"/>
    <w:rsid w:val="00622BDF"/>
    <w:rsid w:val="00623221"/>
    <w:rsid w:val="00624FDF"/>
    <w:rsid w:val="006252F2"/>
    <w:rsid w:val="00625D43"/>
    <w:rsid w:val="00626122"/>
    <w:rsid w:val="00626803"/>
    <w:rsid w:val="006278F4"/>
    <w:rsid w:val="00627B98"/>
    <w:rsid w:val="00631305"/>
    <w:rsid w:val="00631975"/>
    <w:rsid w:val="00631F71"/>
    <w:rsid w:val="006328A6"/>
    <w:rsid w:val="0063336C"/>
    <w:rsid w:val="00633471"/>
    <w:rsid w:val="00633B1C"/>
    <w:rsid w:val="00633C00"/>
    <w:rsid w:val="0063422C"/>
    <w:rsid w:val="006349A7"/>
    <w:rsid w:val="00634C01"/>
    <w:rsid w:val="00634DD7"/>
    <w:rsid w:val="00634EA3"/>
    <w:rsid w:val="00635717"/>
    <w:rsid w:val="0063636B"/>
    <w:rsid w:val="00636CB5"/>
    <w:rsid w:val="00636D27"/>
    <w:rsid w:val="0063736B"/>
    <w:rsid w:val="006374D1"/>
    <w:rsid w:val="0063763F"/>
    <w:rsid w:val="00637D18"/>
    <w:rsid w:val="0064175A"/>
    <w:rsid w:val="00642734"/>
    <w:rsid w:val="00642971"/>
    <w:rsid w:val="00642BEF"/>
    <w:rsid w:val="006434FA"/>
    <w:rsid w:val="00643E65"/>
    <w:rsid w:val="00643E90"/>
    <w:rsid w:val="006447C5"/>
    <w:rsid w:val="0064565D"/>
    <w:rsid w:val="00645B20"/>
    <w:rsid w:val="00645D4F"/>
    <w:rsid w:val="00647357"/>
    <w:rsid w:val="00647646"/>
    <w:rsid w:val="0065036F"/>
    <w:rsid w:val="00650ADD"/>
    <w:rsid w:val="00650C2F"/>
    <w:rsid w:val="00651CAA"/>
    <w:rsid w:val="00652260"/>
    <w:rsid w:val="00652357"/>
    <w:rsid w:val="006525F5"/>
    <w:rsid w:val="00652D56"/>
    <w:rsid w:val="00653B49"/>
    <w:rsid w:val="0065581E"/>
    <w:rsid w:val="00655AEE"/>
    <w:rsid w:val="00655F6D"/>
    <w:rsid w:val="00656C91"/>
    <w:rsid w:val="0065738F"/>
    <w:rsid w:val="006579C9"/>
    <w:rsid w:val="00657EB3"/>
    <w:rsid w:val="006601B8"/>
    <w:rsid w:val="00660683"/>
    <w:rsid w:val="00660EDA"/>
    <w:rsid w:val="00660FCF"/>
    <w:rsid w:val="0066132E"/>
    <w:rsid w:val="00661C2F"/>
    <w:rsid w:val="0066217F"/>
    <w:rsid w:val="00662694"/>
    <w:rsid w:val="00662743"/>
    <w:rsid w:val="00662DA2"/>
    <w:rsid w:val="006633C8"/>
    <w:rsid w:val="0066350F"/>
    <w:rsid w:val="00663627"/>
    <w:rsid w:val="00665820"/>
    <w:rsid w:val="00666579"/>
    <w:rsid w:val="00666A21"/>
    <w:rsid w:val="00666FFD"/>
    <w:rsid w:val="00667755"/>
    <w:rsid w:val="00667944"/>
    <w:rsid w:val="00667DAD"/>
    <w:rsid w:val="00670A4F"/>
    <w:rsid w:val="00670F56"/>
    <w:rsid w:val="00670FB7"/>
    <w:rsid w:val="0067123A"/>
    <w:rsid w:val="006712B2"/>
    <w:rsid w:val="006714FB"/>
    <w:rsid w:val="0067195C"/>
    <w:rsid w:val="00671ACB"/>
    <w:rsid w:val="00671BCD"/>
    <w:rsid w:val="00671EA7"/>
    <w:rsid w:val="00672147"/>
    <w:rsid w:val="00673184"/>
    <w:rsid w:val="00675422"/>
    <w:rsid w:val="006754FB"/>
    <w:rsid w:val="00675C7A"/>
    <w:rsid w:val="00675EC3"/>
    <w:rsid w:val="00676116"/>
    <w:rsid w:val="006775E1"/>
    <w:rsid w:val="006801C0"/>
    <w:rsid w:val="00681AC9"/>
    <w:rsid w:val="0068254A"/>
    <w:rsid w:val="00683327"/>
    <w:rsid w:val="00683AAE"/>
    <w:rsid w:val="00683C7C"/>
    <w:rsid w:val="0068444E"/>
    <w:rsid w:val="00684881"/>
    <w:rsid w:val="00685107"/>
    <w:rsid w:val="00685164"/>
    <w:rsid w:val="006852BE"/>
    <w:rsid w:val="00685620"/>
    <w:rsid w:val="00685E5D"/>
    <w:rsid w:val="0068667E"/>
    <w:rsid w:val="00687C15"/>
    <w:rsid w:val="0069038E"/>
    <w:rsid w:val="006909A7"/>
    <w:rsid w:val="006913AD"/>
    <w:rsid w:val="006917AF"/>
    <w:rsid w:val="006919C1"/>
    <w:rsid w:val="0069283D"/>
    <w:rsid w:val="00692A50"/>
    <w:rsid w:val="00692A95"/>
    <w:rsid w:val="00693A25"/>
    <w:rsid w:val="00693B34"/>
    <w:rsid w:val="00694B18"/>
    <w:rsid w:val="00694B30"/>
    <w:rsid w:val="00694B8A"/>
    <w:rsid w:val="00694C2D"/>
    <w:rsid w:val="006965AD"/>
    <w:rsid w:val="00696693"/>
    <w:rsid w:val="00697304"/>
    <w:rsid w:val="006A1D42"/>
    <w:rsid w:val="006A29D6"/>
    <w:rsid w:val="006A2EC3"/>
    <w:rsid w:val="006A37C9"/>
    <w:rsid w:val="006A3CFD"/>
    <w:rsid w:val="006A3F40"/>
    <w:rsid w:val="006A6AD4"/>
    <w:rsid w:val="006A790B"/>
    <w:rsid w:val="006A7B7D"/>
    <w:rsid w:val="006A7D78"/>
    <w:rsid w:val="006B01F7"/>
    <w:rsid w:val="006B33B8"/>
    <w:rsid w:val="006B34B3"/>
    <w:rsid w:val="006B371D"/>
    <w:rsid w:val="006B40D0"/>
    <w:rsid w:val="006B4156"/>
    <w:rsid w:val="006B537D"/>
    <w:rsid w:val="006B556B"/>
    <w:rsid w:val="006B5AAA"/>
    <w:rsid w:val="006B5DBA"/>
    <w:rsid w:val="006B65A1"/>
    <w:rsid w:val="006B6AB6"/>
    <w:rsid w:val="006B7070"/>
    <w:rsid w:val="006B717C"/>
    <w:rsid w:val="006B732C"/>
    <w:rsid w:val="006C05C5"/>
    <w:rsid w:val="006C093D"/>
    <w:rsid w:val="006C163A"/>
    <w:rsid w:val="006C1D68"/>
    <w:rsid w:val="006C3252"/>
    <w:rsid w:val="006C48F6"/>
    <w:rsid w:val="006C519A"/>
    <w:rsid w:val="006C52D4"/>
    <w:rsid w:val="006C5786"/>
    <w:rsid w:val="006C584B"/>
    <w:rsid w:val="006C68F4"/>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F8"/>
    <w:rsid w:val="006E28B1"/>
    <w:rsid w:val="006E3E7B"/>
    <w:rsid w:val="006E3F80"/>
    <w:rsid w:val="006E423D"/>
    <w:rsid w:val="006E4C56"/>
    <w:rsid w:val="006E53FA"/>
    <w:rsid w:val="006E55CD"/>
    <w:rsid w:val="006E6FE3"/>
    <w:rsid w:val="006E7677"/>
    <w:rsid w:val="006E7E43"/>
    <w:rsid w:val="006E7FCD"/>
    <w:rsid w:val="006F01E6"/>
    <w:rsid w:val="006F05FA"/>
    <w:rsid w:val="006F214B"/>
    <w:rsid w:val="006F2882"/>
    <w:rsid w:val="006F2B22"/>
    <w:rsid w:val="006F392F"/>
    <w:rsid w:val="006F3EAE"/>
    <w:rsid w:val="006F42E6"/>
    <w:rsid w:val="006F53D8"/>
    <w:rsid w:val="006F57BD"/>
    <w:rsid w:val="006F5F82"/>
    <w:rsid w:val="006F6AD5"/>
    <w:rsid w:val="006F7127"/>
    <w:rsid w:val="0070029E"/>
    <w:rsid w:val="00700342"/>
    <w:rsid w:val="007006E7"/>
    <w:rsid w:val="0070078A"/>
    <w:rsid w:val="00701964"/>
    <w:rsid w:val="00701BB0"/>
    <w:rsid w:val="00702357"/>
    <w:rsid w:val="00702DB8"/>
    <w:rsid w:val="007034B1"/>
    <w:rsid w:val="00703C67"/>
    <w:rsid w:val="00705D1B"/>
    <w:rsid w:val="007061F8"/>
    <w:rsid w:val="00706C97"/>
    <w:rsid w:val="00706FB2"/>
    <w:rsid w:val="00707218"/>
    <w:rsid w:val="0070728A"/>
    <w:rsid w:val="007074F5"/>
    <w:rsid w:val="00711A79"/>
    <w:rsid w:val="007125BE"/>
    <w:rsid w:val="0071294F"/>
    <w:rsid w:val="00712E24"/>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147A"/>
    <w:rsid w:val="00731FCA"/>
    <w:rsid w:val="007325C8"/>
    <w:rsid w:val="00732B93"/>
    <w:rsid w:val="0073324D"/>
    <w:rsid w:val="0073362E"/>
    <w:rsid w:val="00735381"/>
    <w:rsid w:val="007355C9"/>
    <w:rsid w:val="007363FE"/>
    <w:rsid w:val="00736D6F"/>
    <w:rsid w:val="0074014C"/>
    <w:rsid w:val="00740CF2"/>
    <w:rsid w:val="00741656"/>
    <w:rsid w:val="0074207B"/>
    <w:rsid w:val="00742164"/>
    <w:rsid w:val="007425D5"/>
    <w:rsid w:val="007434DC"/>
    <w:rsid w:val="0074407C"/>
    <w:rsid w:val="007443EA"/>
    <w:rsid w:val="007444A8"/>
    <w:rsid w:val="0074476D"/>
    <w:rsid w:val="00744C0E"/>
    <w:rsid w:val="0074539C"/>
    <w:rsid w:val="00745752"/>
    <w:rsid w:val="00746039"/>
    <w:rsid w:val="00746BBB"/>
    <w:rsid w:val="007473CD"/>
    <w:rsid w:val="00747C35"/>
    <w:rsid w:val="00751072"/>
    <w:rsid w:val="00751334"/>
    <w:rsid w:val="00751DCB"/>
    <w:rsid w:val="00752352"/>
    <w:rsid w:val="007526DB"/>
    <w:rsid w:val="0075276C"/>
    <w:rsid w:val="00752956"/>
    <w:rsid w:val="00753B12"/>
    <w:rsid w:val="00753CC1"/>
    <w:rsid w:val="007547EA"/>
    <w:rsid w:val="00754A73"/>
    <w:rsid w:val="00755454"/>
    <w:rsid w:val="0075604E"/>
    <w:rsid w:val="00760B2C"/>
    <w:rsid w:val="00761AEA"/>
    <w:rsid w:val="007622EA"/>
    <w:rsid w:val="007627F6"/>
    <w:rsid w:val="00762AE4"/>
    <w:rsid w:val="00762DDD"/>
    <w:rsid w:val="0076417D"/>
    <w:rsid w:val="00765BBE"/>
    <w:rsid w:val="007704F3"/>
    <w:rsid w:val="007710F2"/>
    <w:rsid w:val="007716E9"/>
    <w:rsid w:val="00773060"/>
    <w:rsid w:val="00773223"/>
    <w:rsid w:val="00773513"/>
    <w:rsid w:val="0077365E"/>
    <w:rsid w:val="007741BD"/>
    <w:rsid w:val="0077473F"/>
    <w:rsid w:val="00775C9E"/>
    <w:rsid w:val="00775E76"/>
    <w:rsid w:val="007775AA"/>
    <w:rsid w:val="00777708"/>
    <w:rsid w:val="007778B0"/>
    <w:rsid w:val="00777BDA"/>
    <w:rsid w:val="00781D02"/>
    <w:rsid w:val="007828E3"/>
    <w:rsid w:val="00782BB0"/>
    <w:rsid w:val="007831D6"/>
    <w:rsid w:val="0078495D"/>
    <w:rsid w:val="00785111"/>
    <w:rsid w:val="00785A2E"/>
    <w:rsid w:val="007860BA"/>
    <w:rsid w:val="00786EFB"/>
    <w:rsid w:val="007876BF"/>
    <w:rsid w:val="00787FE9"/>
    <w:rsid w:val="007908C6"/>
    <w:rsid w:val="007912A7"/>
    <w:rsid w:val="00792A87"/>
    <w:rsid w:val="007939D1"/>
    <w:rsid w:val="00793AEA"/>
    <w:rsid w:val="007944F5"/>
    <w:rsid w:val="007947EE"/>
    <w:rsid w:val="00794B80"/>
    <w:rsid w:val="00795343"/>
    <w:rsid w:val="0079544B"/>
    <w:rsid w:val="00795B5C"/>
    <w:rsid w:val="00796193"/>
    <w:rsid w:val="007963DF"/>
    <w:rsid w:val="00796772"/>
    <w:rsid w:val="00796F80"/>
    <w:rsid w:val="00797128"/>
    <w:rsid w:val="00797531"/>
    <w:rsid w:val="007A05B6"/>
    <w:rsid w:val="007A141E"/>
    <w:rsid w:val="007A1AA9"/>
    <w:rsid w:val="007A1D0F"/>
    <w:rsid w:val="007A3667"/>
    <w:rsid w:val="007A3AB1"/>
    <w:rsid w:val="007A56B7"/>
    <w:rsid w:val="007A5CEC"/>
    <w:rsid w:val="007A61F8"/>
    <w:rsid w:val="007A7386"/>
    <w:rsid w:val="007A7861"/>
    <w:rsid w:val="007A7B70"/>
    <w:rsid w:val="007B01B5"/>
    <w:rsid w:val="007B0229"/>
    <w:rsid w:val="007B0BFE"/>
    <w:rsid w:val="007B1B62"/>
    <w:rsid w:val="007B1C22"/>
    <w:rsid w:val="007B24BC"/>
    <w:rsid w:val="007B2D3C"/>
    <w:rsid w:val="007B3C6A"/>
    <w:rsid w:val="007B41A6"/>
    <w:rsid w:val="007B4652"/>
    <w:rsid w:val="007B4FD7"/>
    <w:rsid w:val="007B5F56"/>
    <w:rsid w:val="007B6108"/>
    <w:rsid w:val="007B74C7"/>
    <w:rsid w:val="007B7B09"/>
    <w:rsid w:val="007B7C01"/>
    <w:rsid w:val="007C0169"/>
    <w:rsid w:val="007C1B6C"/>
    <w:rsid w:val="007C2631"/>
    <w:rsid w:val="007C29E1"/>
    <w:rsid w:val="007C2CEC"/>
    <w:rsid w:val="007C3391"/>
    <w:rsid w:val="007C4D57"/>
    <w:rsid w:val="007C4F4F"/>
    <w:rsid w:val="007C5719"/>
    <w:rsid w:val="007C5812"/>
    <w:rsid w:val="007C70BD"/>
    <w:rsid w:val="007C74F4"/>
    <w:rsid w:val="007C76E9"/>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901"/>
    <w:rsid w:val="007E11D7"/>
    <w:rsid w:val="007E1334"/>
    <w:rsid w:val="007E14B5"/>
    <w:rsid w:val="007E1AA0"/>
    <w:rsid w:val="007E1E4C"/>
    <w:rsid w:val="007E2C35"/>
    <w:rsid w:val="007E427E"/>
    <w:rsid w:val="007E450C"/>
    <w:rsid w:val="007E4AD4"/>
    <w:rsid w:val="007E5C16"/>
    <w:rsid w:val="007E5C40"/>
    <w:rsid w:val="007E7B46"/>
    <w:rsid w:val="007F02C3"/>
    <w:rsid w:val="007F049D"/>
    <w:rsid w:val="007F11E6"/>
    <w:rsid w:val="007F20FF"/>
    <w:rsid w:val="007F2388"/>
    <w:rsid w:val="007F2641"/>
    <w:rsid w:val="007F280C"/>
    <w:rsid w:val="007F2FAC"/>
    <w:rsid w:val="007F349F"/>
    <w:rsid w:val="007F475E"/>
    <w:rsid w:val="007F5BA5"/>
    <w:rsid w:val="007F6891"/>
    <w:rsid w:val="007F6B4F"/>
    <w:rsid w:val="00801D9D"/>
    <w:rsid w:val="00801FD8"/>
    <w:rsid w:val="00802917"/>
    <w:rsid w:val="00802E1E"/>
    <w:rsid w:val="00804124"/>
    <w:rsid w:val="0080421C"/>
    <w:rsid w:val="008049E4"/>
    <w:rsid w:val="00804B0A"/>
    <w:rsid w:val="00804D61"/>
    <w:rsid w:val="00804E0C"/>
    <w:rsid w:val="00807556"/>
    <w:rsid w:val="0080765B"/>
    <w:rsid w:val="00807AB3"/>
    <w:rsid w:val="00807D21"/>
    <w:rsid w:val="008104B8"/>
    <w:rsid w:val="00810748"/>
    <w:rsid w:val="008109CA"/>
    <w:rsid w:val="00812036"/>
    <w:rsid w:val="00813D9B"/>
    <w:rsid w:val="008140EC"/>
    <w:rsid w:val="00814A2D"/>
    <w:rsid w:val="00817095"/>
    <w:rsid w:val="008171AA"/>
    <w:rsid w:val="0082041F"/>
    <w:rsid w:val="00821A95"/>
    <w:rsid w:val="00821E41"/>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E79"/>
    <w:rsid w:val="008465D2"/>
    <w:rsid w:val="00850792"/>
    <w:rsid w:val="0085298F"/>
    <w:rsid w:val="00852FA8"/>
    <w:rsid w:val="00853AF4"/>
    <w:rsid w:val="00853E9B"/>
    <w:rsid w:val="008541E9"/>
    <w:rsid w:val="00854230"/>
    <w:rsid w:val="00854C30"/>
    <w:rsid w:val="00854C99"/>
    <w:rsid w:val="008555AD"/>
    <w:rsid w:val="008571AA"/>
    <w:rsid w:val="00857B01"/>
    <w:rsid w:val="00860962"/>
    <w:rsid w:val="008609AB"/>
    <w:rsid w:val="00860AEF"/>
    <w:rsid w:val="00860CBD"/>
    <w:rsid w:val="00860E69"/>
    <w:rsid w:val="00861CA3"/>
    <w:rsid w:val="00861DD6"/>
    <w:rsid w:val="00861F40"/>
    <w:rsid w:val="00863211"/>
    <w:rsid w:val="00863541"/>
    <w:rsid w:val="008646F4"/>
    <w:rsid w:val="00864778"/>
    <w:rsid w:val="00866B5D"/>
    <w:rsid w:val="00866BCA"/>
    <w:rsid w:val="00866CFE"/>
    <w:rsid w:val="00867B00"/>
    <w:rsid w:val="00871B95"/>
    <w:rsid w:val="008728CD"/>
    <w:rsid w:val="00873215"/>
    <w:rsid w:val="008733E5"/>
    <w:rsid w:val="0087374A"/>
    <w:rsid w:val="00873CA8"/>
    <w:rsid w:val="00874174"/>
    <w:rsid w:val="008741C9"/>
    <w:rsid w:val="00874DFD"/>
    <w:rsid w:val="00875651"/>
    <w:rsid w:val="00875717"/>
    <w:rsid w:val="0087645A"/>
    <w:rsid w:val="008767CF"/>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167"/>
    <w:rsid w:val="00887663"/>
    <w:rsid w:val="00887E71"/>
    <w:rsid w:val="00890CE6"/>
    <w:rsid w:val="008918DC"/>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94E"/>
    <w:rsid w:val="008A4B15"/>
    <w:rsid w:val="008A4CB3"/>
    <w:rsid w:val="008A4FDA"/>
    <w:rsid w:val="008A54AF"/>
    <w:rsid w:val="008A5C29"/>
    <w:rsid w:val="008A61A8"/>
    <w:rsid w:val="008A64CF"/>
    <w:rsid w:val="008A7257"/>
    <w:rsid w:val="008A7775"/>
    <w:rsid w:val="008A7CB0"/>
    <w:rsid w:val="008A7DD8"/>
    <w:rsid w:val="008B0016"/>
    <w:rsid w:val="008B00D1"/>
    <w:rsid w:val="008B0A79"/>
    <w:rsid w:val="008B0EAA"/>
    <w:rsid w:val="008B1332"/>
    <w:rsid w:val="008B21DA"/>
    <w:rsid w:val="008B25D2"/>
    <w:rsid w:val="008B26B8"/>
    <w:rsid w:val="008B2DD2"/>
    <w:rsid w:val="008B361D"/>
    <w:rsid w:val="008B3825"/>
    <w:rsid w:val="008B420A"/>
    <w:rsid w:val="008B51E2"/>
    <w:rsid w:val="008B5652"/>
    <w:rsid w:val="008B56C4"/>
    <w:rsid w:val="008B5982"/>
    <w:rsid w:val="008B6135"/>
    <w:rsid w:val="008B6214"/>
    <w:rsid w:val="008B63DA"/>
    <w:rsid w:val="008B66C8"/>
    <w:rsid w:val="008B6DBE"/>
    <w:rsid w:val="008B73E8"/>
    <w:rsid w:val="008B78AC"/>
    <w:rsid w:val="008B7B4F"/>
    <w:rsid w:val="008B7F2F"/>
    <w:rsid w:val="008C0ECB"/>
    <w:rsid w:val="008C1818"/>
    <w:rsid w:val="008C3094"/>
    <w:rsid w:val="008C30A0"/>
    <w:rsid w:val="008C3173"/>
    <w:rsid w:val="008C3DF1"/>
    <w:rsid w:val="008C42FB"/>
    <w:rsid w:val="008C45B6"/>
    <w:rsid w:val="008C54D9"/>
    <w:rsid w:val="008C5E4C"/>
    <w:rsid w:val="008C72D2"/>
    <w:rsid w:val="008D0F23"/>
    <w:rsid w:val="008D1B34"/>
    <w:rsid w:val="008D2B93"/>
    <w:rsid w:val="008D31AD"/>
    <w:rsid w:val="008D3802"/>
    <w:rsid w:val="008D57F5"/>
    <w:rsid w:val="008D5871"/>
    <w:rsid w:val="008D5BCA"/>
    <w:rsid w:val="008D6CEB"/>
    <w:rsid w:val="008E07BA"/>
    <w:rsid w:val="008E0BDD"/>
    <w:rsid w:val="008E0F0D"/>
    <w:rsid w:val="008E1130"/>
    <w:rsid w:val="008E160B"/>
    <w:rsid w:val="008E170C"/>
    <w:rsid w:val="008E24FB"/>
    <w:rsid w:val="008E29C7"/>
    <w:rsid w:val="008E3173"/>
    <w:rsid w:val="008E3A19"/>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EE3"/>
    <w:rsid w:val="008F5F59"/>
    <w:rsid w:val="008F640B"/>
    <w:rsid w:val="008F79F2"/>
    <w:rsid w:val="008F7B57"/>
    <w:rsid w:val="009001FE"/>
    <w:rsid w:val="0090242B"/>
    <w:rsid w:val="0090270A"/>
    <w:rsid w:val="00903866"/>
    <w:rsid w:val="009050C0"/>
    <w:rsid w:val="0090528C"/>
    <w:rsid w:val="00905466"/>
    <w:rsid w:val="00905918"/>
    <w:rsid w:val="00905CCE"/>
    <w:rsid w:val="00905D51"/>
    <w:rsid w:val="00905F65"/>
    <w:rsid w:val="00906ED2"/>
    <w:rsid w:val="00907D99"/>
    <w:rsid w:val="00910119"/>
    <w:rsid w:val="0091015A"/>
    <w:rsid w:val="00911462"/>
    <w:rsid w:val="0091183B"/>
    <w:rsid w:val="00911B53"/>
    <w:rsid w:val="00911B78"/>
    <w:rsid w:val="00912436"/>
    <w:rsid w:val="00913D5E"/>
    <w:rsid w:val="0091447A"/>
    <w:rsid w:val="00914B83"/>
    <w:rsid w:val="009159E4"/>
    <w:rsid w:val="009166D3"/>
    <w:rsid w:val="00916BA8"/>
    <w:rsid w:val="00920DA7"/>
    <w:rsid w:val="0092167E"/>
    <w:rsid w:val="00921E32"/>
    <w:rsid w:val="00921E89"/>
    <w:rsid w:val="00921EFF"/>
    <w:rsid w:val="00922097"/>
    <w:rsid w:val="009220E9"/>
    <w:rsid w:val="00922DD4"/>
    <w:rsid w:val="009231B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2EC4"/>
    <w:rsid w:val="00962F00"/>
    <w:rsid w:val="0096364A"/>
    <w:rsid w:val="00963AA8"/>
    <w:rsid w:val="00963D8C"/>
    <w:rsid w:val="00963F51"/>
    <w:rsid w:val="00964BA2"/>
    <w:rsid w:val="0096678F"/>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E59"/>
    <w:rsid w:val="00977F49"/>
    <w:rsid w:val="009817FD"/>
    <w:rsid w:val="00981EDA"/>
    <w:rsid w:val="00982365"/>
    <w:rsid w:val="009844BA"/>
    <w:rsid w:val="009845DA"/>
    <w:rsid w:val="00984DC0"/>
    <w:rsid w:val="0098506D"/>
    <w:rsid w:val="009857F1"/>
    <w:rsid w:val="00985A7D"/>
    <w:rsid w:val="00985F93"/>
    <w:rsid w:val="00986BF8"/>
    <w:rsid w:val="00986C82"/>
    <w:rsid w:val="009911F3"/>
    <w:rsid w:val="00991319"/>
    <w:rsid w:val="009916FE"/>
    <w:rsid w:val="00992E5C"/>
    <w:rsid w:val="0099311D"/>
    <w:rsid w:val="00993552"/>
    <w:rsid w:val="00993CD7"/>
    <w:rsid w:val="00994865"/>
    <w:rsid w:val="00995A6D"/>
    <w:rsid w:val="00995DAD"/>
    <w:rsid w:val="00995F4D"/>
    <w:rsid w:val="00996119"/>
    <w:rsid w:val="00996726"/>
    <w:rsid w:val="00996EF4"/>
    <w:rsid w:val="009973BE"/>
    <w:rsid w:val="00997849"/>
    <w:rsid w:val="009A03D8"/>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156"/>
    <w:rsid w:val="009B579E"/>
    <w:rsid w:val="009B5866"/>
    <w:rsid w:val="009B5A24"/>
    <w:rsid w:val="009B6153"/>
    <w:rsid w:val="009B7708"/>
    <w:rsid w:val="009C0A23"/>
    <w:rsid w:val="009C2E32"/>
    <w:rsid w:val="009C3C50"/>
    <w:rsid w:val="009C4B9D"/>
    <w:rsid w:val="009C4E1E"/>
    <w:rsid w:val="009C50E2"/>
    <w:rsid w:val="009C595B"/>
    <w:rsid w:val="009C6673"/>
    <w:rsid w:val="009C6CB5"/>
    <w:rsid w:val="009C6CFE"/>
    <w:rsid w:val="009C7D3E"/>
    <w:rsid w:val="009D0B0C"/>
    <w:rsid w:val="009D0C37"/>
    <w:rsid w:val="009D20A7"/>
    <w:rsid w:val="009D2D63"/>
    <w:rsid w:val="009D60F4"/>
    <w:rsid w:val="009D6686"/>
    <w:rsid w:val="009D6D3D"/>
    <w:rsid w:val="009D7037"/>
    <w:rsid w:val="009D71AB"/>
    <w:rsid w:val="009D72AF"/>
    <w:rsid w:val="009D7595"/>
    <w:rsid w:val="009D7645"/>
    <w:rsid w:val="009D7679"/>
    <w:rsid w:val="009D7C0C"/>
    <w:rsid w:val="009D7F0B"/>
    <w:rsid w:val="009E20EB"/>
    <w:rsid w:val="009E37B7"/>
    <w:rsid w:val="009E489A"/>
    <w:rsid w:val="009E5212"/>
    <w:rsid w:val="009E5B0C"/>
    <w:rsid w:val="009E6C19"/>
    <w:rsid w:val="009E6E2F"/>
    <w:rsid w:val="009F0845"/>
    <w:rsid w:val="009F11F2"/>
    <w:rsid w:val="009F1EDE"/>
    <w:rsid w:val="009F2CEE"/>
    <w:rsid w:val="009F3813"/>
    <w:rsid w:val="009F3BC4"/>
    <w:rsid w:val="009F3F1F"/>
    <w:rsid w:val="009F426B"/>
    <w:rsid w:val="009F6192"/>
    <w:rsid w:val="009F636E"/>
    <w:rsid w:val="009F672D"/>
    <w:rsid w:val="009F6E2E"/>
    <w:rsid w:val="009F7EA7"/>
    <w:rsid w:val="00A000EF"/>
    <w:rsid w:val="00A00395"/>
    <w:rsid w:val="00A01663"/>
    <w:rsid w:val="00A01B93"/>
    <w:rsid w:val="00A037A5"/>
    <w:rsid w:val="00A04086"/>
    <w:rsid w:val="00A04292"/>
    <w:rsid w:val="00A04A51"/>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0D00"/>
    <w:rsid w:val="00A2137A"/>
    <w:rsid w:val="00A21480"/>
    <w:rsid w:val="00A23BE3"/>
    <w:rsid w:val="00A24116"/>
    <w:rsid w:val="00A242BE"/>
    <w:rsid w:val="00A249A4"/>
    <w:rsid w:val="00A24AAD"/>
    <w:rsid w:val="00A25BB6"/>
    <w:rsid w:val="00A27159"/>
    <w:rsid w:val="00A278EB"/>
    <w:rsid w:val="00A320D9"/>
    <w:rsid w:val="00A326BC"/>
    <w:rsid w:val="00A32801"/>
    <w:rsid w:val="00A33A01"/>
    <w:rsid w:val="00A33BC1"/>
    <w:rsid w:val="00A33C4B"/>
    <w:rsid w:val="00A33F92"/>
    <w:rsid w:val="00A342EB"/>
    <w:rsid w:val="00A350C4"/>
    <w:rsid w:val="00A3527A"/>
    <w:rsid w:val="00A358F0"/>
    <w:rsid w:val="00A35CD1"/>
    <w:rsid w:val="00A36422"/>
    <w:rsid w:val="00A36474"/>
    <w:rsid w:val="00A3662F"/>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C99"/>
    <w:rsid w:val="00A57245"/>
    <w:rsid w:val="00A57AE0"/>
    <w:rsid w:val="00A6026F"/>
    <w:rsid w:val="00A60656"/>
    <w:rsid w:val="00A614D8"/>
    <w:rsid w:val="00A61592"/>
    <w:rsid w:val="00A618ED"/>
    <w:rsid w:val="00A61B9A"/>
    <w:rsid w:val="00A61E26"/>
    <w:rsid w:val="00A61FC3"/>
    <w:rsid w:val="00A6324A"/>
    <w:rsid w:val="00A655D6"/>
    <w:rsid w:val="00A656CE"/>
    <w:rsid w:val="00A661A9"/>
    <w:rsid w:val="00A66B5B"/>
    <w:rsid w:val="00A66E07"/>
    <w:rsid w:val="00A672B3"/>
    <w:rsid w:val="00A676CB"/>
    <w:rsid w:val="00A67B7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085B"/>
    <w:rsid w:val="00A908C4"/>
    <w:rsid w:val="00A923EA"/>
    <w:rsid w:val="00A93B35"/>
    <w:rsid w:val="00A94105"/>
    <w:rsid w:val="00A946C6"/>
    <w:rsid w:val="00A94A0D"/>
    <w:rsid w:val="00A9526B"/>
    <w:rsid w:val="00A96256"/>
    <w:rsid w:val="00A96A09"/>
    <w:rsid w:val="00AA0336"/>
    <w:rsid w:val="00AA0497"/>
    <w:rsid w:val="00AA0955"/>
    <w:rsid w:val="00AA1E6A"/>
    <w:rsid w:val="00AA2744"/>
    <w:rsid w:val="00AA3F55"/>
    <w:rsid w:val="00AA46E5"/>
    <w:rsid w:val="00AA46E6"/>
    <w:rsid w:val="00AA4E3C"/>
    <w:rsid w:val="00AA5349"/>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FF1"/>
    <w:rsid w:val="00AC3092"/>
    <w:rsid w:val="00AC319E"/>
    <w:rsid w:val="00AC3729"/>
    <w:rsid w:val="00AC3ACD"/>
    <w:rsid w:val="00AC5988"/>
    <w:rsid w:val="00AC6B27"/>
    <w:rsid w:val="00AC6DB3"/>
    <w:rsid w:val="00AC7B9C"/>
    <w:rsid w:val="00AD04FE"/>
    <w:rsid w:val="00AD0833"/>
    <w:rsid w:val="00AD1327"/>
    <w:rsid w:val="00AD15D0"/>
    <w:rsid w:val="00AD172C"/>
    <w:rsid w:val="00AD1BFE"/>
    <w:rsid w:val="00AD1F50"/>
    <w:rsid w:val="00AD48BD"/>
    <w:rsid w:val="00AD5212"/>
    <w:rsid w:val="00AD5E4E"/>
    <w:rsid w:val="00AD5E74"/>
    <w:rsid w:val="00AD6657"/>
    <w:rsid w:val="00AD6ADD"/>
    <w:rsid w:val="00AD703C"/>
    <w:rsid w:val="00AD7862"/>
    <w:rsid w:val="00AD7A23"/>
    <w:rsid w:val="00AE1ECB"/>
    <w:rsid w:val="00AE22E9"/>
    <w:rsid w:val="00AE2B6E"/>
    <w:rsid w:val="00AE2C21"/>
    <w:rsid w:val="00AE3026"/>
    <w:rsid w:val="00AE31CB"/>
    <w:rsid w:val="00AE460D"/>
    <w:rsid w:val="00AE4981"/>
    <w:rsid w:val="00AE499B"/>
    <w:rsid w:val="00AE4ABE"/>
    <w:rsid w:val="00AE5C42"/>
    <w:rsid w:val="00AE601E"/>
    <w:rsid w:val="00AE609A"/>
    <w:rsid w:val="00AE6E56"/>
    <w:rsid w:val="00AE74EE"/>
    <w:rsid w:val="00AE7BF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E14"/>
    <w:rsid w:val="00B31EC7"/>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84C"/>
    <w:rsid w:val="00B50C0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35"/>
    <w:rsid w:val="00B64967"/>
    <w:rsid w:val="00B65538"/>
    <w:rsid w:val="00B65A18"/>
    <w:rsid w:val="00B65F8B"/>
    <w:rsid w:val="00B6611D"/>
    <w:rsid w:val="00B66383"/>
    <w:rsid w:val="00B66799"/>
    <w:rsid w:val="00B66D30"/>
    <w:rsid w:val="00B67932"/>
    <w:rsid w:val="00B6798C"/>
    <w:rsid w:val="00B67D19"/>
    <w:rsid w:val="00B70163"/>
    <w:rsid w:val="00B706AF"/>
    <w:rsid w:val="00B711FB"/>
    <w:rsid w:val="00B7134B"/>
    <w:rsid w:val="00B71665"/>
    <w:rsid w:val="00B71AF0"/>
    <w:rsid w:val="00B72331"/>
    <w:rsid w:val="00B725FA"/>
    <w:rsid w:val="00B72DFD"/>
    <w:rsid w:val="00B732DA"/>
    <w:rsid w:val="00B73BA9"/>
    <w:rsid w:val="00B73FA7"/>
    <w:rsid w:val="00B74318"/>
    <w:rsid w:val="00B763EC"/>
    <w:rsid w:val="00B76A92"/>
    <w:rsid w:val="00B76BCF"/>
    <w:rsid w:val="00B76C81"/>
    <w:rsid w:val="00B77B78"/>
    <w:rsid w:val="00B8022C"/>
    <w:rsid w:val="00B80357"/>
    <w:rsid w:val="00B80AC8"/>
    <w:rsid w:val="00B80CA2"/>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1BAC"/>
    <w:rsid w:val="00B92FFE"/>
    <w:rsid w:val="00B9305E"/>
    <w:rsid w:val="00B93B5F"/>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6C24"/>
    <w:rsid w:val="00BA759D"/>
    <w:rsid w:val="00BA7968"/>
    <w:rsid w:val="00BA7B15"/>
    <w:rsid w:val="00BB0320"/>
    <w:rsid w:val="00BB0CF4"/>
    <w:rsid w:val="00BB2668"/>
    <w:rsid w:val="00BB2D41"/>
    <w:rsid w:val="00BB3275"/>
    <w:rsid w:val="00BB3402"/>
    <w:rsid w:val="00BB3604"/>
    <w:rsid w:val="00BB379D"/>
    <w:rsid w:val="00BB3F6D"/>
    <w:rsid w:val="00BB4131"/>
    <w:rsid w:val="00BB4CB5"/>
    <w:rsid w:val="00BB5B7E"/>
    <w:rsid w:val="00BB6239"/>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181E"/>
    <w:rsid w:val="00BE1A32"/>
    <w:rsid w:val="00BE23F2"/>
    <w:rsid w:val="00BE2659"/>
    <w:rsid w:val="00BE2E87"/>
    <w:rsid w:val="00BE38A5"/>
    <w:rsid w:val="00BE3B53"/>
    <w:rsid w:val="00BE3BC7"/>
    <w:rsid w:val="00BE444C"/>
    <w:rsid w:val="00BE4562"/>
    <w:rsid w:val="00BE5586"/>
    <w:rsid w:val="00BE5599"/>
    <w:rsid w:val="00BE5A7E"/>
    <w:rsid w:val="00BE617C"/>
    <w:rsid w:val="00BE725B"/>
    <w:rsid w:val="00BE7721"/>
    <w:rsid w:val="00BF052B"/>
    <w:rsid w:val="00BF094D"/>
    <w:rsid w:val="00BF0CB2"/>
    <w:rsid w:val="00BF1BF2"/>
    <w:rsid w:val="00BF1D36"/>
    <w:rsid w:val="00BF2436"/>
    <w:rsid w:val="00BF3789"/>
    <w:rsid w:val="00BF38AA"/>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0AB"/>
    <w:rsid w:val="00C024FD"/>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831"/>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5E4"/>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4F26"/>
    <w:rsid w:val="00C355FF"/>
    <w:rsid w:val="00C3566A"/>
    <w:rsid w:val="00C357AC"/>
    <w:rsid w:val="00C35A4A"/>
    <w:rsid w:val="00C35A68"/>
    <w:rsid w:val="00C35A6A"/>
    <w:rsid w:val="00C35BA9"/>
    <w:rsid w:val="00C35F09"/>
    <w:rsid w:val="00C3630B"/>
    <w:rsid w:val="00C3675E"/>
    <w:rsid w:val="00C36952"/>
    <w:rsid w:val="00C36B72"/>
    <w:rsid w:val="00C36DAB"/>
    <w:rsid w:val="00C373A5"/>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882"/>
    <w:rsid w:val="00C60AD4"/>
    <w:rsid w:val="00C60DDD"/>
    <w:rsid w:val="00C60FAC"/>
    <w:rsid w:val="00C610EF"/>
    <w:rsid w:val="00C6155D"/>
    <w:rsid w:val="00C6177C"/>
    <w:rsid w:val="00C617ED"/>
    <w:rsid w:val="00C61827"/>
    <w:rsid w:val="00C61CAE"/>
    <w:rsid w:val="00C61D2A"/>
    <w:rsid w:val="00C6319D"/>
    <w:rsid w:val="00C631C5"/>
    <w:rsid w:val="00C6390D"/>
    <w:rsid w:val="00C64534"/>
    <w:rsid w:val="00C64859"/>
    <w:rsid w:val="00C64FEF"/>
    <w:rsid w:val="00C65465"/>
    <w:rsid w:val="00C65502"/>
    <w:rsid w:val="00C6706E"/>
    <w:rsid w:val="00C675EB"/>
    <w:rsid w:val="00C67E81"/>
    <w:rsid w:val="00C700FE"/>
    <w:rsid w:val="00C72424"/>
    <w:rsid w:val="00C72FD9"/>
    <w:rsid w:val="00C73E8B"/>
    <w:rsid w:val="00C74F5C"/>
    <w:rsid w:val="00C75C02"/>
    <w:rsid w:val="00C76176"/>
    <w:rsid w:val="00C76BFE"/>
    <w:rsid w:val="00C77681"/>
    <w:rsid w:val="00C77D90"/>
    <w:rsid w:val="00C808F0"/>
    <w:rsid w:val="00C809E5"/>
    <w:rsid w:val="00C8136B"/>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80B"/>
    <w:rsid w:val="00CA1C61"/>
    <w:rsid w:val="00CA1FC9"/>
    <w:rsid w:val="00CA22D7"/>
    <w:rsid w:val="00CA273C"/>
    <w:rsid w:val="00CA4298"/>
    <w:rsid w:val="00CA43AA"/>
    <w:rsid w:val="00CA59F7"/>
    <w:rsid w:val="00CA6E68"/>
    <w:rsid w:val="00CA7208"/>
    <w:rsid w:val="00CB1279"/>
    <w:rsid w:val="00CB13DF"/>
    <w:rsid w:val="00CB28CC"/>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572"/>
    <w:rsid w:val="00CD3C27"/>
    <w:rsid w:val="00CD4084"/>
    <w:rsid w:val="00CD59BF"/>
    <w:rsid w:val="00CD6E3C"/>
    <w:rsid w:val="00CD74BA"/>
    <w:rsid w:val="00CE0B55"/>
    <w:rsid w:val="00CE0E3E"/>
    <w:rsid w:val="00CE12A6"/>
    <w:rsid w:val="00CE1968"/>
    <w:rsid w:val="00CE1CC9"/>
    <w:rsid w:val="00CE23D4"/>
    <w:rsid w:val="00CE2909"/>
    <w:rsid w:val="00CE317E"/>
    <w:rsid w:val="00CE409F"/>
    <w:rsid w:val="00CE4870"/>
    <w:rsid w:val="00CE5EF0"/>
    <w:rsid w:val="00CE61C3"/>
    <w:rsid w:val="00CE6850"/>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94A"/>
    <w:rsid w:val="00D01DB8"/>
    <w:rsid w:val="00D0248C"/>
    <w:rsid w:val="00D024A9"/>
    <w:rsid w:val="00D026FC"/>
    <w:rsid w:val="00D033D0"/>
    <w:rsid w:val="00D0352D"/>
    <w:rsid w:val="00D04030"/>
    <w:rsid w:val="00D045CB"/>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790"/>
    <w:rsid w:val="00D16D32"/>
    <w:rsid w:val="00D17BE1"/>
    <w:rsid w:val="00D20446"/>
    <w:rsid w:val="00D20EFA"/>
    <w:rsid w:val="00D2121B"/>
    <w:rsid w:val="00D215BF"/>
    <w:rsid w:val="00D21D0C"/>
    <w:rsid w:val="00D2282B"/>
    <w:rsid w:val="00D2332E"/>
    <w:rsid w:val="00D24201"/>
    <w:rsid w:val="00D2483F"/>
    <w:rsid w:val="00D24AC3"/>
    <w:rsid w:val="00D24F0F"/>
    <w:rsid w:val="00D24F6F"/>
    <w:rsid w:val="00D25BE2"/>
    <w:rsid w:val="00D26342"/>
    <w:rsid w:val="00D26363"/>
    <w:rsid w:val="00D30248"/>
    <w:rsid w:val="00D30A4B"/>
    <w:rsid w:val="00D314DB"/>
    <w:rsid w:val="00D31A54"/>
    <w:rsid w:val="00D32E0D"/>
    <w:rsid w:val="00D33412"/>
    <w:rsid w:val="00D34220"/>
    <w:rsid w:val="00D3433D"/>
    <w:rsid w:val="00D345D3"/>
    <w:rsid w:val="00D34B5E"/>
    <w:rsid w:val="00D34BC4"/>
    <w:rsid w:val="00D3537F"/>
    <w:rsid w:val="00D35582"/>
    <w:rsid w:val="00D35AFF"/>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259F"/>
    <w:rsid w:val="00D5331B"/>
    <w:rsid w:val="00D5579C"/>
    <w:rsid w:val="00D56213"/>
    <w:rsid w:val="00D566EA"/>
    <w:rsid w:val="00D56FC3"/>
    <w:rsid w:val="00D578A8"/>
    <w:rsid w:val="00D6162B"/>
    <w:rsid w:val="00D64807"/>
    <w:rsid w:val="00D6549B"/>
    <w:rsid w:val="00D65533"/>
    <w:rsid w:val="00D665CC"/>
    <w:rsid w:val="00D670DA"/>
    <w:rsid w:val="00D67252"/>
    <w:rsid w:val="00D70C19"/>
    <w:rsid w:val="00D71176"/>
    <w:rsid w:val="00D71FF6"/>
    <w:rsid w:val="00D728D1"/>
    <w:rsid w:val="00D72D2F"/>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8799A"/>
    <w:rsid w:val="00D901FE"/>
    <w:rsid w:val="00D9072B"/>
    <w:rsid w:val="00D9125F"/>
    <w:rsid w:val="00D91451"/>
    <w:rsid w:val="00D9169B"/>
    <w:rsid w:val="00D91B68"/>
    <w:rsid w:val="00D926EB"/>
    <w:rsid w:val="00D93B7E"/>
    <w:rsid w:val="00D945AC"/>
    <w:rsid w:val="00D94985"/>
    <w:rsid w:val="00D956AE"/>
    <w:rsid w:val="00D95A0D"/>
    <w:rsid w:val="00D95E62"/>
    <w:rsid w:val="00D97119"/>
    <w:rsid w:val="00D974E4"/>
    <w:rsid w:val="00D97A46"/>
    <w:rsid w:val="00D97B49"/>
    <w:rsid w:val="00DA04D1"/>
    <w:rsid w:val="00DA05D5"/>
    <w:rsid w:val="00DA0924"/>
    <w:rsid w:val="00DA0D01"/>
    <w:rsid w:val="00DA29A1"/>
    <w:rsid w:val="00DA2BE1"/>
    <w:rsid w:val="00DA3055"/>
    <w:rsid w:val="00DA420D"/>
    <w:rsid w:val="00DA52B5"/>
    <w:rsid w:val="00DA5899"/>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315"/>
    <w:rsid w:val="00DC1591"/>
    <w:rsid w:val="00DC2163"/>
    <w:rsid w:val="00DC2632"/>
    <w:rsid w:val="00DC2997"/>
    <w:rsid w:val="00DC3267"/>
    <w:rsid w:val="00DC34C2"/>
    <w:rsid w:val="00DC46DA"/>
    <w:rsid w:val="00DC4F07"/>
    <w:rsid w:val="00DC500B"/>
    <w:rsid w:val="00DC54A4"/>
    <w:rsid w:val="00DC5B2E"/>
    <w:rsid w:val="00DC5E7C"/>
    <w:rsid w:val="00DC693A"/>
    <w:rsid w:val="00DC7B0D"/>
    <w:rsid w:val="00DC7CBE"/>
    <w:rsid w:val="00DD0A8A"/>
    <w:rsid w:val="00DD11EC"/>
    <w:rsid w:val="00DD1A9A"/>
    <w:rsid w:val="00DD1F42"/>
    <w:rsid w:val="00DD23B6"/>
    <w:rsid w:val="00DD34C0"/>
    <w:rsid w:val="00DD41D9"/>
    <w:rsid w:val="00DD4EA3"/>
    <w:rsid w:val="00DD5193"/>
    <w:rsid w:val="00DD5970"/>
    <w:rsid w:val="00DD70A3"/>
    <w:rsid w:val="00DD7B1B"/>
    <w:rsid w:val="00DE02C1"/>
    <w:rsid w:val="00DE08D2"/>
    <w:rsid w:val="00DE1C7E"/>
    <w:rsid w:val="00DE1E18"/>
    <w:rsid w:val="00DE1E23"/>
    <w:rsid w:val="00DE219D"/>
    <w:rsid w:val="00DE23E7"/>
    <w:rsid w:val="00DE2E13"/>
    <w:rsid w:val="00DE3856"/>
    <w:rsid w:val="00DE415E"/>
    <w:rsid w:val="00DE51E9"/>
    <w:rsid w:val="00DE5343"/>
    <w:rsid w:val="00DE5BEF"/>
    <w:rsid w:val="00DE66CD"/>
    <w:rsid w:val="00DE6958"/>
    <w:rsid w:val="00DE755D"/>
    <w:rsid w:val="00DF01D9"/>
    <w:rsid w:val="00DF14FB"/>
    <w:rsid w:val="00DF1794"/>
    <w:rsid w:val="00DF2A72"/>
    <w:rsid w:val="00DF3496"/>
    <w:rsid w:val="00DF5638"/>
    <w:rsid w:val="00DF5C9E"/>
    <w:rsid w:val="00DF63C8"/>
    <w:rsid w:val="00DF64CA"/>
    <w:rsid w:val="00DF6C92"/>
    <w:rsid w:val="00DF721E"/>
    <w:rsid w:val="00DF7FFE"/>
    <w:rsid w:val="00E00661"/>
    <w:rsid w:val="00E007C7"/>
    <w:rsid w:val="00E01E80"/>
    <w:rsid w:val="00E02122"/>
    <w:rsid w:val="00E0384C"/>
    <w:rsid w:val="00E04264"/>
    <w:rsid w:val="00E046C3"/>
    <w:rsid w:val="00E050E1"/>
    <w:rsid w:val="00E057C3"/>
    <w:rsid w:val="00E057F8"/>
    <w:rsid w:val="00E06458"/>
    <w:rsid w:val="00E074AC"/>
    <w:rsid w:val="00E07603"/>
    <w:rsid w:val="00E07CE0"/>
    <w:rsid w:val="00E10293"/>
    <w:rsid w:val="00E10306"/>
    <w:rsid w:val="00E10B83"/>
    <w:rsid w:val="00E1107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E0B"/>
    <w:rsid w:val="00E234B9"/>
    <w:rsid w:val="00E23842"/>
    <w:rsid w:val="00E24B03"/>
    <w:rsid w:val="00E25668"/>
    <w:rsid w:val="00E25EA1"/>
    <w:rsid w:val="00E25FBE"/>
    <w:rsid w:val="00E26712"/>
    <w:rsid w:val="00E2682A"/>
    <w:rsid w:val="00E27447"/>
    <w:rsid w:val="00E3088E"/>
    <w:rsid w:val="00E3095F"/>
    <w:rsid w:val="00E30B43"/>
    <w:rsid w:val="00E31870"/>
    <w:rsid w:val="00E31E60"/>
    <w:rsid w:val="00E31E68"/>
    <w:rsid w:val="00E3262A"/>
    <w:rsid w:val="00E327E1"/>
    <w:rsid w:val="00E33349"/>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664"/>
    <w:rsid w:val="00E43709"/>
    <w:rsid w:val="00E4431D"/>
    <w:rsid w:val="00E4433C"/>
    <w:rsid w:val="00E446A5"/>
    <w:rsid w:val="00E449A7"/>
    <w:rsid w:val="00E45C1A"/>
    <w:rsid w:val="00E4640D"/>
    <w:rsid w:val="00E46738"/>
    <w:rsid w:val="00E46A0A"/>
    <w:rsid w:val="00E47A32"/>
    <w:rsid w:val="00E5021D"/>
    <w:rsid w:val="00E521C7"/>
    <w:rsid w:val="00E525F8"/>
    <w:rsid w:val="00E52B34"/>
    <w:rsid w:val="00E52CB3"/>
    <w:rsid w:val="00E54271"/>
    <w:rsid w:val="00E5515A"/>
    <w:rsid w:val="00E552B0"/>
    <w:rsid w:val="00E55981"/>
    <w:rsid w:val="00E55E94"/>
    <w:rsid w:val="00E5648B"/>
    <w:rsid w:val="00E56F98"/>
    <w:rsid w:val="00E56FD5"/>
    <w:rsid w:val="00E60126"/>
    <w:rsid w:val="00E61AD9"/>
    <w:rsid w:val="00E624F2"/>
    <w:rsid w:val="00E625E8"/>
    <w:rsid w:val="00E62DE9"/>
    <w:rsid w:val="00E630B7"/>
    <w:rsid w:val="00E634DA"/>
    <w:rsid w:val="00E64C81"/>
    <w:rsid w:val="00E6537C"/>
    <w:rsid w:val="00E6556D"/>
    <w:rsid w:val="00E65762"/>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2C91"/>
    <w:rsid w:val="00E738B8"/>
    <w:rsid w:val="00E744D4"/>
    <w:rsid w:val="00E74F5E"/>
    <w:rsid w:val="00E75553"/>
    <w:rsid w:val="00E7561A"/>
    <w:rsid w:val="00E75C87"/>
    <w:rsid w:val="00E775EF"/>
    <w:rsid w:val="00E775FA"/>
    <w:rsid w:val="00E77867"/>
    <w:rsid w:val="00E77F42"/>
    <w:rsid w:val="00E80258"/>
    <w:rsid w:val="00E80D56"/>
    <w:rsid w:val="00E80FD3"/>
    <w:rsid w:val="00E81137"/>
    <w:rsid w:val="00E814AF"/>
    <w:rsid w:val="00E821AE"/>
    <w:rsid w:val="00E82475"/>
    <w:rsid w:val="00E83A86"/>
    <w:rsid w:val="00E8449E"/>
    <w:rsid w:val="00E850F3"/>
    <w:rsid w:val="00E8536C"/>
    <w:rsid w:val="00E855B2"/>
    <w:rsid w:val="00E85C24"/>
    <w:rsid w:val="00E8686D"/>
    <w:rsid w:val="00E86A27"/>
    <w:rsid w:val="00E87749"/>
    <w:rsid w:val="00E87B42"/>
    <w:rsid w:val="00E87C7C"/>
    <w:rsid w:val="00E91944"/>
    <w:rsid w:val="00E91C81"/>
    <w:rsid w:val="00E9315C"/>
    <w:rsid w:val="00E93E05"/>
    <w:rsid w:val="00E9455C"/>
    <w:rsid w:val="00E94568"/>
    <w:rsid w:val="00E94606"/>
    <w:rsid w:val="00E94624"/>
    <w:rsid w:val="00E94755"/>
    <w:rsid w:val="00E94862"/>
    <w:rsid w:val="00E9591C"/>
    <w:rsid w:val="00E95A74"/>
    <w:rsid w:val="00E95D04"/>
    <w:rsid w:val="00E95DE4"/>
    <w:rsid w:val="00E96C9E"/>
    <w:rsid w:val="00E9746A"/>
    <w:rsid w:val="00E9771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A7FBE"/>
    <w:rsid w:val="00EA7FCA"/>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00"/>
    <w:rsid w:val="00EB66EA"/>
    <w:rsid w:val="00EB6AEB"/>
    <w:rsid w:val="00EB711D"/>
    <w:rsid w:val="00EB73F2"/>
    <w:rsid w:val="00EC0CE4"/>
    <w:rsid w:val="00EC11FF"/>
    <w:rsid w:val="00EC26DE"/>
    <w:rsid w:val="00EC2860"/>
    <w:rsid w:val="00EC3BCC"/>
    <w:rsid w:val="00EC3FDF"/>
    <w:rsid w:val="00EC44FD"/>
    <w:rsid w:val="00EC45A5"/>
    <w:rsid w:val="00EC52E0"/>
    <w:rsid w:val="00EC5C12"/>
    <w:rsid w:val="00EC6842"/>
    <w:rsid w:val="00EC70C6"/>
    <w:rsid w:val="00EC714B"/>
    <w:rsid w:val="00EC7F26"/>
    <w:rsid w:val="00EC7F44"/>
    <w:rsid w:val="00ED02F9"/>
    <w:rsid w:val="00ED0444"/>
    <w:rsid w:val="00ED04EC"/>
    <w:rsid w:val="00ED052F"/>
    <w:rsid w:val="00ED06F8"/>
    <w:rsid w:val="00ED0E29"/>
    <w:rsid w:val="00ED28C4"/>
    <w:rsid w:val="00ED334E"/>
    <w:rsid w:val="00ED3A2A"/>
    <w:rsid w:val="00ED40F7"/>
    <w:rsid w:val="00ED6038"/>
    <w:rsid w:val="00ED653F"/>
    <w:rsid w:val="00ED6550"/>
    <w:rsid w:val="00ED7092"/>
    <w:rsid w:val="00ED748E"/>
    <w:rsid w:val="00ED7D4A"/>
    <w:rsid w:val="00EE02E3"/>
    <w:rsid w:val="00EE07BA"/>
    <w:rsid w:val="00EE0D34"/>
    <w:rsid w:val="00EE1515"/>
    <w:rsid w:val="00EE1E94"/>
    <w:rsid w:val="00EE27CF"/>
    <w:rsid w:val="00EE2BF1"/>
    <w:rsid w:val="00EE3440"/>
    <w:rsid w:val="00EE34FA"/>
    <w:rsid w:val="00EE46A1"/>
    <w:rsid w:val="00EE50CE"/>
    <w:rsid w:val="00EE5CD7"/>
    <w:rsid w:val="00EE6B14"/>
    <w:rsid w:val="00EE74D7"/>
    <w:rsid w:val="00EE781A"/>
    <w:rsid w:val="00EF0315"/>
    <w:rsid w:val="00EF1588"/>
    <w:rsid w:val="00EF159E"/>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549"/>
    <w:rsid w:val="00F00778"/>
    <w:rsid w:val="00F01821"/>
    <w:rsid w:val="00F01D9B"/>
    <w:rsid w:val="00F043C9"/>
    <w:rsid w:val="00F04FA6"/>
    <w:rsid w:val="00F0554B"/>
    <w:rsid w:val="00F06BB4"/>
    <w:rsid w:val="00F07876"/>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D63"/>
    <w:rsid w:val="00F17E4B"/>
    <w:rsid w:val="00F2074F"/>
    <w:rsid w:val="00F21995"/>
    <w:rsid w:val="00F21B41"/>
    <w:rsid w:val="00F23678"/>
    <w:rsid w:val="00F23747"/>
    <w:rsid w:val="00F24307"/>
    <w:rsid w:val="00F2497D"/>
    <w:rsid w:val="00F252EE"/>
    <w:rsid w:val="00F258D4"/>
    <w:rsid w:val="00F265C9"/>
    <w:rsid w:val="00F2670F"/>
    <w:rsid w:val="00F26FDE"/>
    <w:rsid w:val="00F30AE0"/>
    <w:rsid w:val="00F30B00"/>
    <w:rsid w:val="00F314FE"/>
    <w:rsid w:val="00F31BBD"/>
    <w:rsid w:val="00F32739"/>
    <w:rsid w:val="00F3318B"/>
    <w:rsid w:val="00F337B5"/>
    <w:rsid w:val="00F33F47"/>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2E4B"/>
    <w:rsid w:val="00F43BA8"/>
    <w:rsid w:val="00F4512B"/>
    <w:rsid w:val="00F461CE"/>
    <w:rsid w:val="00F46256"/>
    <w:rsid w:val="00F4643C"/>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5B1F"/>
    <w:rsid w:val="00F56998"/>
    <w:rsid w:val="00F56BBE"/>
    <w:rsid w:val="00F579AF"/>
    <w:rsid w:val="00F6121D"/>
    <w:rsid w:val="00F6150C"/>
    <w:rsid w:val="00F61B51"/>
    <w:rsid w:val="00F61D08"/>
    <w:rsid w:val="00F624BA"/>
    <w:rsid w:val="00F62986"/>
    <w:rsid w:val="00F62B99"/>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7CFC"/>
    <w:rsid w:val="00F803E8"/>
    <w:rsid w:val="00F810F2"/>
    <w:rsid w:val="00F81192"/>
    <w:rsid w:val="00F81513"/>
    <w:rsid w:val="00F81823"/>
    <w:rsid w:val="00F81B11"/>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2A73"/>
    <w:rsid w:val="00F933A0"/>
    <w:rsid w:val="00F9341B"/>
    <w:rsid w:val="00F93676"/>
    <w:rsid w:val="00F938A1"/>
    <w:rsid w:val="00F93AC8"/>
    <w:rsid w:val="00F9416C"/>
    <w:rsid w:val="00F9431A"/>
    <w:rsid w:val="00F953F8"/>
    <w:rsid w:val="00F95419"/>
    <w:rsid w:val="00F963B6"/>
    <w:rsid w:val="00F96972"/>
    <w:rsid w:val="00F96E8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7F4"/>
    <w:rsid w:val="00FB7C14"/>
    <w:rsid w:val="00FB7DA4"/>
    <w:rsid w:val="00FC0500"/>
    <w:rsid w:val="00FC0ACC"/>
    <w:rsid w:val="00FC0C3B"/>
    <w:rsid w:val="00FC0C3D"/>
    <w:rsid w:val="00FC14CF"/>
    <w:rsid w:val="00FC1AAD"/>
    <w:rsid w:val="00FC2ADB"/>
    <w:rsid w:val="00FC2E5F"/>
    <w:rsid w:val="00FC385D"/>
    <w:rsid w:val="00FC5D44"/>
    <w:rsid w:val="00FC60A1"/>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5E0D"/>
    <w:rsid w:val="00FD6A19"/>
    <w:rsid w:val="00FD75BC"/>
    <w:rsid w:val="00FD7AB8"/>
    <w:rsid w:val="00FD7D56"/>
    <w:rsid w:val="00FE057F"/>
    <w:rsid w:val="00FE06ED"/>
    <w:rsid w:val="00FE0BC3"/>
    <w:rsid w:val="00FE0C63"/>
    <w:rsid w:val="00FE2763"/>
    <w:rsid w:val="00FE2E74"/>
    <w:rsid w:val="00FE3153"/>
    <w:rsid w:val="00FE3327"/>
    <w:rsid w:val="00FE357C"/>
    <w:rsid w:val="00FE3FB8"/>
    <w:rsid w:val="00FE41B8"/>
    <w:rsid w:val="00FE4729"/>
    <w:rsid w:val="00FE4D3E"/>
    <w:rsid w:val="00FE4F0E"/>
    <w:rsid w:val="00FE67E3"/>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F8638DEB-EDB0-4C0F-83AB-61316542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55F6D"/>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 w:type="numbering" w:customStyle="1" w:styleId="Style1">
    <w:name w:val="Style1"/>
    <w:uiPriority w:val="99"/>
    <w:rsid w:val="00857B0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36CD58-9EFD-492B-999E-84CC4205FAB1}"/>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1389</Words>
  <Characters>7919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Influenza Treatment and Prevention Post Limit PA 111-J</vt:lpstr>
    </vt:vector>
  </TitlesOfParts>
  <Company>CVS Caremark</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Influenza Treatment and Prevention Post Limit PA 111-J</dc:title>
  <dc:subject>Influenza Treatment and Prevention Post Limit PA 111-J</dc:subject>
  <dc:creator>CVS Caremark</dc:creator>
  <cp:keywords/>
  <cp:lastModifiedBy>Reynoso, Victor H</cp:lastModifiedBy>
  <cp:revision>5</cp:revision>
  <cp:lastPrinted>2018-01-08T20:01:00Z</cp:lastPrinted>
  <dcterms:created xsi:type="dcterms:W3CDTF">2025-06-11T14:51:00Z</dcterms:created>
  <dcterms:modified xsi:type="dcterms:W3CDTF">2025-06-11T14:56:00Z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MediaServiceImageTags">
    <vt:lpwstr/>
  </property>
  <property fmtid="{D5CDD505-2E9C-101B-9397-08002B2CF9AE}" pid="10" name="Order">
    <vt:r8>13983000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ContentTypeId">
    <vt:lpwstr>0x0101004AE5A02051B9624785D9530930705DB3</vt:lpwstr>
  </property>
  <property fmtid="{D5CDD505-2E9C-101B-9397-08002B2CF9AE}" pid="18" name="_SourceUrl">
    <vt:lpwstr/>
  </property>
  <property fmtid="{D5CDD505-2E9C-101B-9397-08002B2CF9AE}" pid="19" name="_SharedFileIndex">
    <vt:lpwstr/>
  </property>
</Properties>
</file>